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40" w:rsidRDefault="009C1140" w:rsidP="009C11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ОКРУГ–ЮГРА</w:t>
      </w:r>
    </w:p>
    <w:p w:rsidR="009C1140" w:rsidRDefault="009C1140" w:rsidP="009C114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9C1140" w:rsidRDefault="009C1140" w:rsidP="009C11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C1140" w:rsidRDefault="009C1140" w:rsidP="009C11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40" w:rsidRDefault="009C1140" w:rsidP="009C11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9C1140" w:rsidRDefault="009C1140" w:rsidP="009C11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40" w:rsidRDefault="009C1140" w:rsidP="009C11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C1140" w:rsidRDefault="009C1140" w:rsidP="009C114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40" w:rsidRDefault="0007381D" w:rsidP="009C11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</w:t>
      </w:r>
      <w:r w:rsidR="009C1140">
        <w:rPr>
          <w:rFonts w:ascii="Times New Roman" w:hAnsi="Times New Roman" w:cs="Times New Roman"/>
          <w:sz w:val="28"/>
          <w:szCs w:val="28"/>
        </w:rPr>
        <w:t xml:space="preserve">2013                                               </w:t>
      </w:r>
      <w:r w:rsidR="009C1140">
        <w:rPr>
          <w:rFonts w:ascii="Times New Roman" w:hAnsi="Times New Roman" w:cs="Times New Roman"/>
          <w:sz w:val="28"/>
          <w:szCs w:val="28"/>
        </w:rPr>
        <w:tab/>
      </w:r>
      <w:r w:rsidR="009C1140">
        <w:rPr>
          <w:rFonts w:ascii="Times New Roman" w:hAnsi="Times New Roman" w:cs="Times New Roman"/>
          <w:sz w:val="28"/>
          <w:szCs w:val="28"/>
        </w:rPr>
        <w:tab/>
      </w:r>
      <w:r w:rsidR="009C1140">
        <w:rPr>
          <w:rFonts w:ascii="Times New Roman" w:hAnsi="Times New Roman" w:cs="Times New Roman"/>
          <w:sz w:val="28"/>
          <w:szCs w:val="28"/>
        </w:rPr>
        <w:tab/>
      </w:r>
      <w:r w:rsidR="009C11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1058">
        <w:rPr>
          <w:rFonts w:ascii="Times New Roman" w:hAnsi="Times New Roman" w:cs="Times New Roman"/>
          <w:sz w:val="28"/>
          <w:szCs w:val="28"/>
        </w:rPr>
        <w:tab/>
      </w:r>
      <w:r w:rsidR="009C1140">
        <w:rPr>
          <w:rFonts w:ascii="Times New Roman" w:hAnsi="Times New Roman" w:cs="Times New Roman"/>
          <w:sz w:val="28"/>
          <w:szCs w:val="28"/>
        </w:rPr>
        <w:t xml:space="preserve">№ </w:t>
      </w:r>
      <w:r w:rsidR="00321058">
        <w:rPr>
          <w:rFonts w:ascii="Times New Roman" w:hAnsi="Times New Roman" w:cs="Times New Roman"/>
          <w:sz w:val="28"/>
          <w:szCs w:val="28"/>
        </w:rPr>
        <w:t>233</w:t>
      </w:r>
    </w:p>
    <w:p w:rsidR="009C1140" w:rsidRPr="00546BCA" w:rsidRDefault="009C1140" w:rsidP="009C11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66C" w:rsidRDefault="0070466C" w:rsidP="009C1140">
      <w:pPr>
        <w:pStyle w:val="a7"/>
      </w:pPr>
      <w:r>
        <w:t>О</w:t>
      </w:r>
      <w:r w:rsidRPr="0070466C">
        <w:t xml:space="preserve"> финансово</w:t>
      </w:r>
      <w:r w:rsidR="007A195A">
        <w:t>-</w:t>
      </w:r>
      <w:r w:rsidRPr="0070466C">
        <w:t xml:space="preserve">хозяйственной </w:t>
      </w:r>
    </w:p>
    <w:p w:rsidR="0070466C" w:rsidRDefault="0070466C" w:rsidP="0070466C">
      <w:pPr>
        <w:pStyle w:val="a7"/>
      </w:pPr>
      <w:r w:rsidRPr="0070466C">
        <w:t xml:space="preserve">деятельности </w:t>
      </w:r>
      <w:proofErr w:type="gramStart"/>
      <w:r w:rsidRPr="0070466C">
        <w:t>муниципального</w:t>
      </w:r>
      <w:proofErr w:type="gramEnd"/>
      <w:r w:rsidRPr="0070466C">
        <w:t xml:space="preserve"> </w:t>
      </w:r>
    </w:p>
    <w:p w:rsidR="00203F33" w:rsidRDefault="009C1140" w:rsidP="0070466C">
      <w:pPr>
        <w:pStyle w:val="a7"/>
      </w:pPr>
      <w:r>
        <w:t xml:space="preserve">предприятия </w:t>
      </w:r>
      <w:r w:rsidR="0070466C" w:rsidRPr="0070466C">
        <w:t xml:space="preserve">Ханты-Мансийского </w:t>
      </w:r>
    </w:p>
    <w:p w:rsidR="0070466C" w:rsidRPr="0070466C" w:rsidRDefault="0070466C" w:rsidP="009C1140">
      <w:pPr>
        <w:pStyle w:val="a7"/>
        <w:rPr>
          <w:sz w:val="24"/>
          <w:szCs w:val="24"/>
        </w:rPr>
      </w:pPr>
      <w:r w:rsidRPr="0070466C">
        <w:t>района "</w:t>
      </w:r>
      <w:r w:rsidR="009C1140">
        <w:rPr>
          <w:rFonts w:eastAsia="Calibri"/>
          <w:szCs w:val="28"/>
          <w:lang w:eastAsia="en-US"/>
        </w:rPr>
        <w:t>ЖЭК-3</w:t>
      </w:r>
      <w:r w:rsidRPr="0070466C">
        <w:t>" за 201</w:t>
      </w:r>
      <w:r w:rsidR="009C1140">
        <w:t>2</w:t>
      </w:r>
      <w:r w:rsidRPr="0070466C">
        <w:t xml:space="preserve"> год</w:t>
      </w:r>
    </w:p>
    <w:p w:rsidR="0070466C" w:rsidRPr="0070466C" w:rsidRDefault="0070466C" w:rsidP="0070466C">
      <w:pPr>
        <w:spacing w:after="0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DC26D4" w:rsidP="00DC26D4">
      <w:pPr>
        <w:spacing w:after="0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7A195A" w:rsidP="009C1140">
      <w:pPr>
        <w:pStyle w:val="a7"/>
        <w:rPr>
          <w:szCs w:val="28"/>
        </w:rPr>
      </w:pPr>
      <w:r>
        <w:rPr>
          <w:szCs w:val="28"/>
        </w:rPr>
        <w:tab/>
      </w:r>
      <w:r w:rsidR="00DC26D4" w:rsidRPr="00DC26D4">
        <w:rPr>
          <w:szCs w:val="28"/>
        </w:rPr>
        <w:t xml:space="preserve">Заслушав информацию </w:t>
      </w:r>
      <w:r>
        <w:rPr>
          <w:szCs w:val="28"/>
        </w:rPr>
        <w:t xml:space="preserve">о </w:t>
      </w:r>
      <w:r w:rsidR="009C1140" w:rsidRPr="0070466C">
        <w:t>финансово</w:t>
      </w:r>
      <w:r w:rsidR="009C1140">
        <w:t>-</w:t>
      </w:r>
      <w:r w:rsidR="009C1140" w:rsidRPr="0070466C">
        <w:t xml:space="preserve">хозяйственной деятельности муниципального </w:t>
      </w:r>
      <w:r w:rsidR="009C1140">
        <w:t xml:space="preserve">предприятия </w:t>
      </w:r>
      <w:r w:rsidR="009C1140" w:rsidRPr="0070466C">
        <w:t>Ханты-Мансийского района "</w:t>
      </w:r>
      <w:r w:rsidR="009C1140">
        <w:rPr>
          <w:rFonts w:eastAsia="Calibri"/>
          <w:szCs w:val="28"/>
          <w:lang w:eastAsia="en-US"/>
        </w:rPr>
        <w:t>ЖЭК-3</w:t>
      </w:r>
      <w:r w:rsidR="009C1140" w:rsidRPr="0070466C">
        <w:t>" за 201</w:t>
      </w:r>
      <w:r w:rsidR="009C1140">
        <w:t>2</w:t>
      </w:r>
      <w:r w:rsidR="009C1140" w:rsidRPr="0070466C">
        <w:t xml:space="preserve"> год</w:t>
      </w:r>
      <w:r>
        <w:rPr>
          <w:szCs w:val="28"/>
        </w:rPr>
        <w:t>,</w:t>
      </w:r>
      <w:r w:rsidR="00DC26D4" w:rsidRPr="00DC26D4">
        <w:rPr>
          <w:szCs w:val="28"/>
        </w:rPr>
        <w:t xml:space="preserve"> </w:t>
      </w:r>
    </w:p>
    <w:p w:rsidR="007A195A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Default="00DC26D4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DC26D4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DC26D4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Default="007A195A" w:rsidP="009C1140">
      <w:pPr>
        <w:pStyle w:val="a7"/>
        <w:rPr>
          <w:szCs w:val="28"/>
        </w:rPr>
      </w:pPr>
      <w:r>
        <w:rPr>
          <w:szCs w:val="28"/>
        </w:rPr>
        <w:tab/>
      </w:r>
      <w:r w:rsidR="00DC26D4" w:rsidRPr="00DC26D4">
        <w:rPr>
          <w:szCs w:val="28"/>
        </w:rPr>
        <w:t>1.</w:t>
      </w:r>
      <w:r>
        <w:rPr>
          <w:szCs w:val="28"/>
        </w:rPr>
        <w:t xml:space="preserve"> </w:t>
      </w:r>
      <w:r w:rsidR="00DC26D4" w:rsidRPr="00DC26D4">
        <w:rPr>
          <w:szCs w:val="28"/>
        </w:rPr>
        <w:t xml:space="preserve">Информацию </w:t>
      </w:r>
      <w:r w:rsidR="009C1140">
        <w:rPr>
          <w:szCs w:val="28"/>
        </w:rPr>
        <w:t xml:space="preserve">о </w:t>
      </w:r>
      <w:r w:rsidR="009C1140" w:rsidRPr="009C1140">
        <w:rPr>
          <w:szCs w:val="28"/>
        </w:rPr>
        <w:t>финансово-хозяйственной деятельности муниципального предприятия Ханты-Мансийского района "ЖЭК-3" за 2012 год</w:t>
      </w:r>
      <w:r w:rsidRPr="00DC26D4">
        <w:rPr>
          <w:szCs w:val="28"/>
        </w:rPr>
        <w:t xml:space="preserve"> </w:t>
      </w:r>
      <w:r w:rsidR="00DC26D4" w:rsidRPr="00DC26D4">
        <w:rPr>
          <w:szCs w:val="28"/>
        </w:rPr>
        <w:t>принять к сведению</w:t>
      </w:r>
      <w:r>
        <w:rPr>
          <w:szCs w:val="28"/>
        </w:rPr>
        <w:t xml:space="preserve"> (прилагается)</w:t>
      </w:r>
      <w:r w:rsidR="00DC26D4" w:rsidRPr="00DC26D4">
        <w:rPr>
          <w:szCs w:val="28"/>
        </w:rPr>
        <w:t>.</w:t>
      </w:r>
    </w:p>
    <w:p w:rsidR="005A6517" w:rsidRPr="00DC26D4" w:rsidRDefault="005A6517" w:rsidP="009C1140">
      <w:pPr>
        <w:pStyle w:val="a7"/>
        <w:rPr>
          <w:szCs w:val="28"/>
        </w:rPr>
      </w:pPr>
    </w:p>
    <w:p w:rsidR="00DC26D4" w:rsidRPr="00DC26D4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DC26D4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Pr="00DC26D4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DC26D4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                                                         П.Н.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Захаров</w:t>
      </w:r>
    </w:p>
    <w:p w:rsidR="00203F33" w:rsidRDefault="00203F3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33" w:rsidRPr="00DC26D4" w:rsidRDefault="00321058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02.04.</w:t>
      </w:r>
      <w:r w:rsidR="00203F33">
        <w:rPr>
          <w:rFonts w:ascii="Times New Roman" w:eastAsia="Times New Roman" w:hAnsi="Times New Roman"/>
          <w:sz w:val="28"/>
          <w:szCs w:val="28"/>
          <w:lang w:eastAsia="ru-RU"/>
        </w:rPr>
        <w:t>2013</w:t>
      </w:r>
    </w:p>
    <w:p w:rsidR="007A195A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Default="00DC26D4" w:rsidP="001208AE">
      <w:pPr>
        <w:pStyle w:val="a7"/>
        <w:jc w:val="center"/>
        <w:rPr>
          <w:b/>
        </w:rPr>
      </w:pPr>
    </w:p>
    <w:p w:rsidR="009C1140" w:rsidRDefault="009C1140" w:rsidP="001208AE">
      <w:pPr>
        <w:pStyle w:val="a7"/>
        <w:jc w:val="center"/>
        <w:rPr>
          <w:b/>
        </w:rPr>
      </w:pPr>
    </w:p>
    <w:p w:rsidR="009C1140" w:rsidRDefault="009C1140" w:rsidP="001208AE">
      <w:pPr>
        <w:pStyle w:val="a7"/>
        <w:jc w:val="center"/>
        <w:rPr>
          <w:b/>
        </w:rPr>
      </w:pPr>
    </w:p>
    <w:p w:rsidR="0013653C" w:rsidRDefault="0013653C" w:rsidP="001208AE">
      <w:pPr>
        <w:pStyle w:val="a7"/>
        <w:jc w:val="center"/>
        <w:rPr>
          <w:b/>
        </w:rPr>
      </w:pPr>
    </w:p>
    <w:p w:rsidR="0013653C" w:rsidRDefault="0013653C" w:rsidP="001208AE">
      <w:pPr>
        <w:pStyle w:val="a7"/>
        <w:jc w:val="center"/>
        <w:rPr>
          <w:b/>
        </w:rPr>
      </w:pPr>
    </w:p>
    <w:p w:rsidR="009C1140" w:rsidRDefault="009C1140" w:rsidP="001208AE">
      <w:pPr>
        <w:pStyle w:val="a7"/>
        <w:jc w:val="center"/>
        <w:rPr>
          <w:b/>
        </w:rPr>
      </w:pPr>
    </w:p>
    <w:p w:rsidR="00203F33" w:rsidRDefault="00203F33" w:rsidP="001208AE">
      <w:pPr>
        <w:pStyle w:val="a7"/>
        <w:jc w:val="center"/>
        <w:rPr>
          <w:b/>
        </w:rPr>
      </w:pPr>
    </w:p>
    <w:p w:rsidR="00AA5C9F" w:rsidRDefault="00AA5C9F" w:rsidP="001208AE">
      <w:pPr>
        <w:pStyle w:val="a7"/>
        <w:jc w:val="center"/>
        <w:rPr>
          <w:b/>
        </w:rPr>
      </w:pPr>
    </w:p>
    <w:p w:rsidR="0007381D" w:rsidRDefault="00203F33" w:rsidP="00203F33">
      <w:pPr>
        <w:pStyle w:val="a7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381D">
        <w:rPr>
          <w:b/>
        </w:rPr>
        <w:tab/>
      </w:r>
      <w:r w:rsidRPr="00203F3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203F33" w:rsidRDefault="00203F33" w:rsidP="0007381D">
      <w:pPr>
        <w:pStyle w:val="a7"/>
        <w:ind w:left="5664" w:firstLine="708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203F33" w:rsidRDefault="00203F33" w:rsidP="00203F33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81D">
        <w:rPr>
          <w:sz w:val="24"/>
          <w:szCs w:val="24"/>
        </w:rPr>
        <w:tab/>
      </w:r>
      <w:r>
        <w:rPr>
          <w:sz w:val="24"/>
          <w:szCs w:val="24"/>
        </w:rPr>
        <w:t>Ханты-Мансийского района</w:t>
      </w:r>
    </w:p>
    <w:p w:rsidR="00203F33" w:rsidRDefault="00203F33" w:rsidP="00203F33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81D">
        <w:rPr>
          <w:sz w:val="24"/>
          <w:szCs w:val="24"/>
        </w:rPr>
        <w:tab/>
      </w:r>
      <w:r>
        <w:rPr>
          <w:sz w:val="24"/>
          <w:szCs w:val="24"/>
        </w:rPr>
        <w:t xml:space="preserve">от 29.03.2013 № </w:t>
      </w:r>
      <w:r w:rsidR="00C937F8">
        <w:rPr>
          <w:sz w:val="24"/>
          <w:szCs w:val="24"/>
        </w:rPr>
        <w:t>233</w:t>
      </w:r>
      <w:bookmarkStart w:id="0" w:name="_GoBack"/>
      <w:bookmarkEnd w:id="0"/>
    </w:p>
    <w:p w:rsidR="00203F33" w:rsidRPr="00203F33" w:rsidRDefault="00203F33" w:rsidP="00203F33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4FAF" w:rsidRPr="00964FAF" w:rsidRDefault="00964FAF" w:rsidP="00964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32"/>
          <w:lang w:eastAsia="ru-RU"/>
        </w:rPr>
      </w:pPr>
    </w:p>
    <w:p w:rsidR="00203F33" w:rsidRDefault="0009649F" w:rsidP="00964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F12C07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Информация </w:t>
      </w:r>
    </w:p>
    <w:p w:rsidR="00964FAF" w:rsidRPr="00F12C07" w:rsidRDefault="00964FAF" w:rsidP="00964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2C07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о финансово-хозяйственной деятельности </w:t>
      </w:r>
      <w:r w:rsidR="0009649F" w:rsidRPr="00F12C0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предприятия</w:t>
      </w:r>
      <w:r w:rsidRPr="00F12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2C0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3F33" w:rsidRPr="00203F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Ханты-Мансийского района </w:t>
      </w:r>
      <w:r w:rsidRPr="00F12C07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="009C1140" w:rsidRPr="00F12C07">
        <w:rPr>
          <w:rFonts w:ascii="Times New Roman" w:eastAsia="Times New Roman" w:hAnsi="Times New Roman"/>
          <w:noProof/>
          <w:sz w:val="24"/>
          <w:szCs w:val="24"/>
          <w:lang w:eastAsia="ru-RU"/>
        </w:rPr>
        <w:t>ЖЭК - 3</w:t>
      </w:r>
      <w:r w:rsidRPr="00F12C07">
        <w:rPr>
          <w:rFonts w:ascii="Times New Roman" w:eastAsia="Times New Roman" w:hAnsi="Times New Roman"/>
          <w:sz w:val="24"/>
          <w:szCs w:val="24"/>
          <w:lang w:eastAsia="ru-RU"/>
        </w:rPr>
        <w:t>" за 201</w:t>
      </w:r>
      <w:r w:rsidR="009C1140" w:rsidRPr="00F12C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12C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64FAF" w:rsidRPr="00F12C07" w:rsidRDefault="00964FAF" w:rsidP="00964F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AF" w:rsidRPr="00F12C07" w:rsidRDefault="00964FAF" w:rsidP="00964F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2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Учетная карта муниципального </w:t>
      </w:r>
      <w:r w:rsidR="0009649F" w:rsidRPr="00F12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предприятия</w:t>
      </w:r>
      <w:r w:rsidRPr="00F12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64FAF" w:rsidRPr="00964FAF" w:rsidRDefault="00964FAF" w:rsidP="00964F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964FAF" w:rsidRPr="00964FAF" w:rsidTr="00AC4F9E">
        <w:trPr>
          <w:trHeight w:val="628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наименование </w:t>
            </w:r>
          </w:p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811" w:type="dxa"/>
          </w:tcPr>
          <w:p w:rsidR="00964FAF" w:rsidRPr="00F12C07" w:rsidRDefault="00964FAF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</w:t>
            </w:r>
            <w:r w:rsidR="009C1140" w:rsidRPr="00F12C07">
              <w:rPr>
                <w:rFonts w:ascii="Times New Roman" w:eastAsia="Times New Roman" w:hAnsi="Times New Roman"/>
                <w:sz w:val="24"/>
                <w:szCs w:val="24"/>
              </w:rPr>
              <w:t>предприятие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</w:p>
          <w:p w:rsidR="00964FAF" w:rsidRPr="00F12C07" w:rsidRDefault="00964FAF" w:rsidP="009C114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r w:rsidR="009C1140" w:rsidRPr="00F12C07">
              <w:rPr>
                <w:rFonts w:ascii="Times New Roman" w:eastAsia="Times New Roman" w:hAnsi="Times New Roman"/>
                <w:sz w:val="24"/>
                <w:szCs w:val="24"/>
              </w:rPr>
              <w:t>ЖЭК-3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C1140" w:rsidRPr="00F12C07">
              <w:rPr>
                <w:rFonts w:ascii="Times New Roman" w:eastAsia="Times New Roman" w:hAnsi="Times New Roman"/>
                <w:sz w:val="24"/>
                <w:szCs w:val="24"/>
              </w:rPr>
              <w:t xml:space="preserve"> Ханты – Мансийского района</w:t>
            </w:r>
          </w:p>
        </w:tc>
      </w:tr>
      <w:tr w:rsidR="00964FAF" w:rsidRPr="00964FAF" w:rsidTr="00AC4F9E">
        <w:trPr>
          <w:trHeight w:val="312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811" w:type="dxa"/>
          </w:tcPr>
          <w:p w:rsidR="00964FAF" w:rsidRPr="00F12C07" w:rsidRDefault="009C1140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МП «ЖЭК-3»</w:t>
            </w:r>
            <w:r w:rsidR="00AC4F9E" w:rsidRPr="00F12C07">
              <w:rPr>
                <w:rFonts w:ascii="Times New Roman" w:eastAsia="Times New Roman" w:hAnsi="Times New Roman"/>
                <w:sz w:val="24"/>
                <w:szCs w:val="24"/>
              </w:rPr>
              <w:t xml:space="preserve"> Ханты – Мансийского района</w:t>
            </w:r>
            <w:r w:rsidR="00964FAF" w:rsidRPr="00F12C07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964FAF" w:rsidRPr="00964FAF" w:rsidTr="00AC4F9E">
        <w:trPr>
          <w:trHeight w:val="515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 </w:t>
            </w:r>
          </w:p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5811" w:type="dxa"/>
          </w:tcPr>
          <w:p w:rsidR="00964FAF" w:rsidRPr="00F12C07" w:rsidRDefault="009C1140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Баринов Андрей Геннадьевич</w:t>
            </w:r>
          </w:p>
          <w:p w:rsidR="00964FAF" w:rsidRPr="00F12C07" w:rsidRDefault="00964FAF" w:rsidP="00964FA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4FAF" w:rsidRPr="00964FAF" w:rsidTr="00AC4F9E">
        <w:trPr>
          <w:trHeight w:val="516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811" w:type="dxa"/>
          </w:tcPr>
          <w:p w:rsidR="00964FAF" w:rsidRPr="00F12C07" w:rsidRDefault="00964FAF" w:rsidP="00AC4F9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6285</w:t>
            </w:r>
            <w:r w:rsidR="00AC4F9E" w:rsidRPr="00F12C0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 xml:space="preserve">   ул. </w:t>
            </w:r>
            <w:r w:rsidR="00AC4F9E" w:rsidRPr="00F12C07">
              <w:rPr>
                <w:rFonts w:ascii="Times New Roman" w:eastAsia="Times New Roman" w:hAnsi="Times New Roman"/>
                <w:sz w:val="24"/>
                <w:szCs w:val="24"/>
              </w:rPr>
              <w:t>Комарова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, д.</w:t>
            </w:r>
            <w:r w:rsidR="00AC4F9E" w:rsidRPr="00F12C0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proofErr w:type="gramStart"/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C4F9E" w:rsidRPr="00F12C0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="00AC4F9E" w:rsidRPr="00F12C07">
              <w:rPr>
                <w:rFonts w:ascii="Times New Roman" w:eastAsia="Times New Roman" w:hAnsi="Times New Roman"/>
                <w:sz w:val="24"/>
                <w:szCs w:val="24"/>
              </w:rPr>
              <w:t>ибирский</w:t>
            </w:r>
            <w:proofErr w:type="spellEnd"/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, Ханты-Мансийский район, ХМАО-Югра,   Тюменская область</w:t>
            </w:r>
          </w:p>
        </w:tc>
      </w:tr>
      <w:tr w:rsidR="00964FAF" w:rsidRPr="00964FAF" w:rsidTr="00AC4F9E">
        <w:trPr>
          <w:trHeight w:val="538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811" w:type="dxa"/>
          </w:tcPr>
          <w:p w:rsidR="00964FAF" w:rsidRPr="00F12C07" w:rsidRDefault="00964FAF" w:rsidP="00AC4F9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6280</w:t>
            </w:r>
            <w:r w:rsidR="00AC4F9E" w:rsidRPr="00F12C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 xml:space="preserve">1,   </w:t>
            </w:r>
            <w:r w:rsidR="00AC4F9E" w:rsidRPr="00F12C07">
              <w:rPr>
                <w:rFonts w:ascii="Times New Roman" w:eastAsia="Times New Roman" w:hAnsi="Times New Roman"/>
                <w:sz w:val="24"/>
                <w:szCs w:val="24"/>
              </w:rPr>
              <w:t>ул. Бобровая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C4F9E" w:rsidRPr="00F12C07">
              <w:rPr>
                <w:rFonts w:ascii="Times New Roman" w:eastAsia="Times New Roman" w:hAnsi="Times New Roman"/>
                <w:sz w:val="24"/>
                <w:szCs w:val="24"/>
              </w:rPr>
              <w:t>д.9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, г. Ханты-Мансийск, ХМАО-Югра, Тюменская область</w:t>
            </w:r>
          </w:p>
        </w:tc>
      </w:tr>
      <w:tr w:rsidR="00964FAF" w:rsidRPr="00C937F8" w:rsidTr="00AC4F9E">
        <w:trPr>
          <w:trHeight w:val="532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811" w:type="dxa"/>
          </w:tcPr>
          <w:p w:rsidR="00964FAF" w:rsidRPr="00F12C07" w:rsidRDefault="00964FAF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8(3467) 3</w:t>
            </w:r>
            <w:r w:rsidR="00AC4F9E" w:rsidRPr="00F12C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2-05-23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="00AC4F9E" w:rsidRPr="00F12C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36-30-32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="00AC4F9E" w:rsidRPr="00F12C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36-30-79</w:t>
            </w:r>
            <w:r w:rsidRPr="00F12C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964FAF" w:rsidRPr="00F12C07" w:rsidRDefault="00964FAF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e-mail: </w:t>
            </w:r>
            <w:r w:rsidR="00AC4F9E" w:rsidRPr="00F12C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mp-zhehk-3@yandex.ru</w:t>
            </w:r>
          </w:p>
        </w:tc>
      </w:tr>
      <w:tr w:rsidR="00964FAF" w:rsidRPr="00964FAF" w:rsidTr="00AC4F9E">
        <w:trPr>
          <w:trHeight w:val="267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811" w:type="dxa"/>
          </w:tcPr>
          <w:p w:rsidR="00964FAF" w:rsidRPr="00F12C07" w:rsidRDefault="00AC4F9E" w:rsidP="00964F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8618005341/861801001</w:t>
            </w:r>
          </w:p>
        </w:tc>
      </w:tr>
      <w:tr w:rsidR="00AC4F9E" w:rsidRPr="00964FAF" w:rsidTr="00AC4F9E">
        <w:trPr>
          <w:trHeight w:val="267"/>
        </w:trPr>
        <w:tc>
          <w:tcPr>
            <w:tcW w:w="3936" w:type="dxa"/>
          </w:tcPr>
          <w:p w:rsidR="00AC4F9E" w:rsidRPr="00964FAF" w:rsidRDefault="00AC4F9E" w:rsidP="00964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811" w:type="dxa"/>
          </w:tcPr>
          <w:p w:rsidR="00AC4F9E" w:rsidRPr="00F12C07" w:rsidRDefault="00AC4F9E" w:rsidP="00964F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31440495</w:t>
            </w:r>
          </w:p>
        </w:tc>
      </w:tr>
      <w:tr w:rsidR="00964FAF" w:rsidRPr="00964FAF" w:rsidTr="00AC4F9E">
        <w:trPr>
          <w:trHeight w:val="271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 xml:space="preserve">ОГРН  </w:t>
            </w:r>
          </w:p>
        </w:tc>
        <w:tc>
          <w:tcPr>
            <w:tcW w:w="5811" w:type="dxa"/>
          </w:tcPr>
          <w:p w:rsidR="00964FAF" w:rsidRPr="00F12C07" w:rsidRDefault="00AC4F9E" w:rsidP="00964F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1028600513545</w:t>
            </w:r>
          </w:p>
        </w:tc>
      </w:tr>
      <w:tr w:rsidR="00964FAF" w:rsidRPr="00964FAF" w:rsidTr="00AC4F9E">
        <w:trPr>
          <w:trHeight w:val="368"/>
        </w:trPr>
        <w:tc>
          <w:tcPr>
            <w:tcW w:w="3936" w:type="dxa"/>
          </w:tcPr>
          <w:p w:rsidR="00964FAF" w:rsidRPr="00964FAF" w:rsidRDefault="00AC4F9E" w:rsidP="00964F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5811" w:type="dxa"/>
          </w:tcPr>
          <w:p w:rsidR="00964FAF" w:rsidRPr="00F12C07" w:rsidRDefault="00AC4F9E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40.30.14, 40.30.3, 01.42.2, 90.00.1</w:t>
            </w:r>
          </w:p>
        </w:tc>
      </w:tr>
      <w:tr w:rsidR="00AC4F9E" w:rsidRPr="00964FAF" w:rsidTr="00AC4F9E">
        <w:trPr>
          <w:trHeight w:val="368"/>
        </w:trPr>
        <w:tc>
          <w:tcPr>
            <w:tcW w:w="3936" w:type="dxa"/>
          </w:tcPr>
          <w:p w:rsidR="00AC4F9E" w:rsidRDefault="00AC4F9E" w:rsidP="00964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811" w:type="dxa"/>
          </w:tcPr>
          <w:p w:rsidR="00AC4F9E" w:rsidRPr="00F12C07" w:rsidRDefault="00AC4F9E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71129932001</w:t>
            </w:r>
          </w:p>
        </w:tc>
      </w:tr>
      <w:tr w:rsidR="00AC4F9E" w:rsidRPr="00964FAF" w:rsidTr="00AC4F9E">
        <w:trPr>
          <w:trHeight w:val="368"/>
        </w:trPr>
        <w:tc>
          <w:tcPr>
            <w:tcW w:w="3936" w:type="dxa"/>
          </w:tcPr>
          <w:p w:rsidR="00AC4F9E" w:rsidRDefault="00AC4F9E" w:rsidP="00964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5811" w:type="dxa"/>
          </w:tcPr>
          <w:p w:rsidR="00AC4F9E" w:rsidRPr="00F12C07" w:rsidRDefault="00AC4F9E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AC4F9E" w:rsidRPr="00964FAF" w:rsidTr="00AC4F9E">
        <w:trPr>
          <w:trHeight w:val="368"/>
        </w:trPr>
        <w:tc>
          <w:tcPr>
            <w:tcW w:w="3936" w:type="dxa"/>
          </w:tcPr>
          <w:p w:rsidR="00AC4F9E" w:rsidRDefault="00AC4F9E" w:rsidP="00964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5811" w:type="dxa"/>
          </w:tcPr>
          <w:p w:rsidR="00AC4F9E" w:rsidRPr="00F12C07" w:rsidRDefault="00AC4F9E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964FAF" w:rsidRPr="00964FAF" w:rsidTr="00AC4F9E">
        <w:trPr>
          <w:trHeight w:val="618"/>
        </w:trPr>
        <w:tc>
          <w:tcPr>
            <w:tcW w:w="3936" w:type="dxa"/>
          </w:tcPr>
          <w:p w:rsidR="00964FAF" w:rsidRPr="00964FAF" w:rsidRDefault="00964FAF" w:rsidP="00AC4F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</w:t>
            </w:r>
          </w:p>
        </w:tc>
        <w:tc>
          <w:tcPr>
            <w:tcW w:w="5811" w:type="dxa"/>
          </w:tcPr>
          <w:p w:rsidR="00964FAF" w:rsidRPr="00F12C07" w:rsidRDefault="00964FAF" w:rsidP="00964F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/с </w:t>
            </w:r>
            <w:r w:rsidR="00AC4F9E"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C4F9E"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40702810800000000470</w:t>
            </w:r>
          </w:p>
          <w:p w:rsidR="00964FAF" w:rsidRPr="00F12C07" w:rsidRDefault="00964FAF" w:rsidP="00964F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sz w:val="24"/>
                <w:szCs w:val="24"/>
              </w:rPr>
              <w:t>ОАО «</w:t>
            </w:r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Ханты-Мансийский Банк» БИК- </w:t>
            </w:r>
            <w:r w:rsidR="0098091C"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047162740</w:t>
            </w:r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кор</w:t>
            </w:r>
            <w:proofErr w:type="spellEnd"/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. счет-</w:t>
            </w:r>
            <w:r w:rsidR="0098091C"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30101810100000000740</w:t>
            </w:r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964FAF" w:rsidRPr="00F12C07" w:rsidRDefault="00964FAF" w:rsidP="00964F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в РКЦ  г</w:t>
            </w:r>
            <w:proofErr w:type="gramStart"/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.Х</w:t>
            </w:r>
            <w:proofErr w:type="gramEnd"/>
            <w:r w:rsidRPr="00F12C07">
              <w:rPr>
                <w:rFonts w:ascii="Times New Roman" w:eastAsia="Times New Roman" w:hAnsi="Times New Roman"/>
                <w:bCs/>
                <w:sz w:val="24"/>
                <w:szCs w:val="24"/>
              </w:rPr>
              <w:t>анты-Мансийска</w:t>
            </w:r>
          </w:p>
        </w:tc>
      </w:tr>
    </w:tbl>
    <w:p w:rsidR="00964FAF" w:rsidRPr="00964FAF" w:rsidRDefault="00964FAF" w:rsidP="00964F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FAF" w:rsidRPr="00964FAF" w:rsidRDefault="00964FAF" w:rsidP="00964F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Общее описание ситуации:</w:t>
      </w:r>
    </w:p>
    <w:p w:rsidR="00964FAF" w:rsidRPr="002D6A75" w:rsidRDefault="002D6A75" w:rsidP="00D0665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A7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предприятие «ЖЭК-3» Ханты – Мансийского района, в дальнейшем МП «ЖЭК-3», создано в соответствии с распоряжением Главы Ханты – Мансийского района от 15 февраля 2002 года № 95-р.</w:t>
      </w:r>
    </w:p>
    <w:p w:rsidR="002D6A75" w:rsidRPr="00671067" w:rsidRDefault="002D6A75" w:rsidP="00D06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67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Учредителем МП «ЖЭК-3» является </w:t>
      </w:r>
      <w:r w:rsidR="0009649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71067">
        <w:rPr>
          <w:rFonts w:ascii="Times New Roman" w:eastAsia="Times New Roman" w:hAnsi="Times New Roman"/>
          <w:sz w:val="24"/>
          <w:szCs w:val="24"/>
          <w:lang w:eastAsia="ru-RU"/>
        </w:rPr>
        <w:t>епартамент имущественных, земельных отношений и природопользования администрации Ханты – Мансийского района</w:t>
      </w:r>
      <w:r w:rsidR="00671067" w:rsidRPr="00671067">
        <w:rPr>
          <w:rFonts w:ascii="Times New Roman" w:eastAsia="Times New Roman" w:hAnsi="Times New Roman"/>
          <w:sz w:val="24"/>
          <w:szCs w:val="24"/>
          <w:lang w:eastAsia="ru-RU"/>
        </w:rPr>
        <w:t>, уполномоченный выступать от имени собственника муниципального имущества – муниципального образования «Ханты – Мансийский район» с местонахождением по адресу:</w:t>
      </w:r>
      <w:r w:rsidR="0009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067" w:rsidRPr="00671067">
        <w:rPr>
          <w:rFonts w:ascii="Times New Roman" w:eastAsia="Times New Roman" w:hAnsi="Times New Roman"/>
          <w:sz w:val="24"/>
          <w:szCs w:val="24"/>
          <w:lang w:eastAsia="ru-RU"/>
        </w:rPr>
        <w:t xml:space="preserve">628002, г. </w:t>
      </w:r>
      <w:proofErr w:type="gramStart"/>
      <w:r w:rsidR="00671067" w:rsidRPr="00671067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 – </w:t>
      </w:r>
      <w:proofErr w:type="spellStart"/>
      <w:r w:rsidR="00671067" w:rsidRPr="00671067">
        <w:rPr>
          <w:rFonts w:ascii="Times New Roman" w:eastAsia="Times New Roman" w:hAnsi="Times New Roman"/>
          <w:sz w:val="24"/>
          <w:szCs w:val="24"/>
          <w:lang w:eastAsia="ru-RU"/>
        </w:rPr>
        <w:t>Мансийск</w:t>
      </w:r>
      <w:proofErr w:type="spellEnd"/>
      <w:proofErr w:type="gramEnd"/>
      <w:r w:rsidR="00671067" w:rsidRPr="00671067">
        <w:rPr>
          <w:rFonts w:ascii="Times New Roman" w:eastAsia="Times New Roman" w:hAnsi="Times New Roman"/>
          <w:sz w:val="24"/>
          <w:szCs w:val="24"/>
          <w:lang w:eastAsia="ru-RU"/>
        </w:rPr>
        <w:t>, ул. Гагарина д.214.</w:t>
      </w:r>
    </w:p>
    <w:p w:rsidR="002D6A75" w:rsidRPr="006A0908" w:rsidRDefault="006A0908" w:rsidP="00D06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9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МП </w:t>
      </w:r>
      <w:r w:rsidR="00F12C07">
        <w:rPr>
          <w:rFonts w:ascii="Times New Roman" w:eastAsia="Times New Roman" w:hAnsi="Times New Roman"/>
          <w:sz w:val="24"/>
          <w:szCs w:val="24"/>
          <w:lang w:eastAsia="ru-RU"/>
        </w:rPr>
        <w:t xml:space="preserve">«ЖЭК-3» </w:t>
      </w:r>
      <w:r w:rsidRPr="006A0908">
        <w:rPr>
          <w:rFonts w:ascii="Times New Roman" w:eastAsia="Times New Roman" w:hAnsi="Times New Roman"/>
          <w:sz w:val="24"/>
          <w:szCs w:val="24"/>
          <w:lang w:eastAsia="ru-RU"/>
        </w:rPr>
        <w:t>является юридическим лицом, имеет  самостоятельный баланс, расчетный счет и иные счета в банках, круглую печать со своим наименованием, штамп, фирменны</w:t>
      </w:r>
      <w:r w:rsidR="0009649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A0908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бланк, фирменное наименование.</w:t>
      </w:r>
    </w:p>
    <w:p w:rsidR="006A0908" w:rsidRDefault="002837B8" w:rsidP="00D06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Предприятие создано в связи с </w:t>
      </w:r>
      <w:r w:rsidR="000E06C3">
        <w:rPr>
          <w:rFonts w:ascii="Times New Roman" w:eastAsia="Times New Roman" w:hAnsi="Times New Roman"/>
          <w:sz w:val="24"/>
          <w:szCs w:val="24"/>
          <w:lang w:eastAsia="ru-RU"/>
        </w:rPr>
        <w:t>необходимостью осуществления хозяйственной деятельности</w:t>
      </w:r>
      <w:r w:rsidR="00237794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решения социальных задач муниципального образования для обеспечения жизнедеятельности населения Ханты – Мансийского района, выполнения работ и </w:t>
      </w:r>
      <w:r w:rsidR="0009649F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</w:t>
      </w:r>
      <w:r w:rsidR="00237794">
        <w:rPr>
          <w:rFonts w:ascii="Times New Roman" w:eastAsia="Times New Roman" w:hAnsi="Times New Roman"/>
          <w:sz w:val="24"/>
          <w:szCs w:val="24"/>
          <w:lang w:eastAsia="ru-RU"/>
        </w:rPr>
        <w:t>услуг, удовлетворения потребностей физических и юридических лиц в коммунальных и иных платных услугах</w:t>
      </w:r>
      <w:r w:rsidR="000964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016D" w:rsidRPr="0088016D" w:rsidRDefault="0088016D" w:rsidP="00D06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>МП «ЖЭК-3» на территории Ханты-Мансийского района оказывает услуги в сфере жилищно-коммунального хозяйства на территории 1</w:t>
      </w:r>
      <w:r w:rsidR="0009649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сельских поселений района: </w:t>
      </w:r>
      <w:proofErr w:type="spellStart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>Луговской</w:t>
      </w:r>
      <w:proofErr w:type="spellEnd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>Шапша</w:t>
      </w:r>
      <w:proofErr w:type="spellEnd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>Красноленинский</w:t>
      </w:r>
      <w:proofErr w:type="spellEnd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 xml:space="preserve">, Кедровый, </w:t>
      </w:r>
      <w:proofErr w:type="spellStart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>Селиярово</w:t>
      </w:r>
      <w:proofErr w:type="spellEnd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>Кышик</w:t>
      </w:r>
      <w:proofErr w:type="spellEnd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>Нялинское</w:t>
      </w:r>
      <w:proofErr w:type="spellEnd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 xml:space="preserve">, Сибирский, </w:t>
      </w:r>
      <w:proofErr w:type="spellStart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proofErr w:type="spellEnd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>Цингалы</w:t>
      </w:r>
      <w:proofErr w:type="spellEnd"/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016D" w:rsidRPr="0088016D" w:rsidRDefault="0088016D" w:rsidP="00D06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16D">
        <w:rPr>
          <w:rFonts w:ascii="Times New Roman" w:eastAsia="Times New Roman" w:hAnsi="Times New Roman"/>
          <w:sz w:val="24"/>
          <w:szCs w:val="24"/>
          <w:lang w:eastAsia="ru-RU"/>
        </w:rPr>
        <w:t>Основными видами деятельности предприятия являются: теплоснабжение, водоснабжение, водоотведение, подвоз (доставка) питьевой воды, вывоз твердых бытовых отходов (далее - вывоз ТБО), вывоз жидких бытовых отходов (далее - вывоз ЖБО), оказание банных услуг и прочие виды деятельности.</w:t>
      </w:r>
    </w:p>
    <w:p w:rsidR="00661328" w:rsidRDefault="00661328" w:rsidP="00D06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Имущество МП «ЖЭК-3» находится в муниципальной собственности Ханты – Мансийского района</w:t>
      </w:r>
      <w:r w:rsidR="001E01C5">
        <w:rPr>
          <w:rFonts w:ascii="Times New Roman" w:eastAsia="Times New Roman" w:hAnsi="Times New Roman"/>
          <w:sz w:val="24"/>
          <w:szCs w:val="24"/>
          <w:lang w:eastAsia="ru-RU"/>
        </w:rPr>
        <w:t>, принадлежит предприятию на праве хозяйственного ведения.</w:t>
      </w:r>
    </w:p>
    <w:p w:rsidR="00B54678" w:rsidRPr="005023A1" w:rsidRDefault="00B54678" w:rsidP="00D06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A1">
        <w:rPr>
          <w:rFonts w:ascii="Times New Roman" w:eastAsia="Times New Roman" w:hAnsi="Times New Roman"/>
          <w:sz w:val="24"/>
          <w:szCs w:val="24"/>
          <w:lang w:eastAsia="ru-RU"/>
        </w:rPr>
        <w:t>Штатная численность работников МП «ЖЭК-3»</w:t>
      </w:r>
      <w:r w:rsidR="005023A1" w:rsidRPr="005023A1">
        <w:rPr>
          <w:rFonts w:ascii="Times New Roman" w:eastAsia="Times New Roman" w:hAnsi="Times New Roman"/>
          <w:sz w:val="24"/>
          <w:szCs w:val="24"/>
          <w:lang w:eastAsia="ru-RU"/>
        </w:rPr>
        <w:t xml:space="preserve"> на 31.12.2012 года составила</w:t>
      </w:r>
      <w:r w:rsidRPr="00502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23A1" w:rsidRPr="005023A1">
        <w:rPr>
          <w:rFonts w:ascii="Times New Roman" w:eastAsia="Times New Roman" w:hAnsi="Times New Roman"/>
          <w:sz w:val="24"/>
          <w:szCs w:val="24"/>
          <w:lang w:eastAsia="ru-RU"/>
        </w:rPr>
        <w:t>295 человек, что на 10 человек меньше, чем в 2011 году или на 3,3%.</w:t>
      </w:r>
      <w:r w:rsidR="00502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23A1" w:rsidRPr="005023A1">
        <w:rPr>
          <w:rFonts w:ascii="Times New Roman" w:eastAsia="Times New Roman" w:hAnsi="Times New Roman"/>
          <w:sz w:val="24"/>
          <w:szCs w:val="24"/>
          <w:lang w:eastAsia="ru-RU"/>
        </w:rPr>
        <w:t>. В течение 2012 года предприяти</w:t>
      </w:r>
      <w:r w:rsidR="0009649F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5023A1" w:rsidRPr="005023A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приняты 78 человек, число уволенных сотрудников состав</w:t>
      </w:r>
      <w:r w:rsidR="0009649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023A1" w:rsidRPr="005023A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9649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023A1" w:rsidRPr="005023A1">
        <w:rPr>
          <w:rFonts w:ascii="Times New Roman" w:eastAsia="Times New Roman" w:hAnsi="Times New Roman"/>
          <w:sz w:val="24"/>
          <w:szCs w:val="24"/>
          <w:lang w:eastAsia="ru-RU"/>
        </w:rPr>
        <w:t xml:space="preserve"> 81 человек, число сокращенных сотрудников состав</w:t>
      </w:r>
      <w:r w:rsidR="0009649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023A1" w:rsidRPr="005023A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9649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023A1" w:rsidRPr="005023A1">
        <w:rPr>
          <w:rFonts w:ascii="Times New Roman" w:eastAsia="Times New Roman" w:hAnsi="Times New Roman"/>
          <w:sz w:val="24"/>
          <w:szCs w:val="24"/>
          <w:lang w:eastAsia="ru-RU"/>
        </w:rPr>
        <w:t xml:space="preserve"> 7 человек. </w:t>
      </w:r>
    </w:p>
    <w:p w:rsidR="00B54678" w:rsidRPr="00B54678" w:rsidRDefault="00B54678" w:rsidP="00D06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A1">
        <w:rPr>
          <w:rFonts w:ascii="Times New Roman" w:eastAsia="Times New Roman" w:hAnsi="Times New Roman"/>
          <w:sz w:val="24"/>
          <w:szCs w:val="24"/>
          <w:lang w:eastAsia="ru-RU"/>
        </w:rPr>
        <w:t>Среднемесячная заработная плата работников учреждения</w:t>
      </w:r>
      <w:r w:rsidR="0009649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</w:t>
      </w:r>
      <w:r w:rsidRPr="005023A1">
        <w:rPr>
          <w:rFonts w:ascii="Times New Roman" w:eastAsia="Times New Roman" w:hAnsi="Times New Roman"/>
          <w:sz w:val="24"/>
          <w:szCs w:val="24"/>
          <w:lang w:eastAsia="ru-RU"/>
        </w:rPr>
        <w:t xml:space="preserve"> -  </w:t>
      </w:r>
      <w:r w:rsidR="005023A1" w:rsidRPr="005023A1">
        <w:rPr>
          <w:rFonts w:ascii="Times New Roman" w:eastAsia="Times New Roman" w:hAnsi="Times New Roman"/>
          <w:sz w:val="24"/>
          <w:szCs w:val="24"/>
          <w:lang w:eastAsia="ru-RU"/>
        </w:rPr>
        <w:t xml:space="preserve">24 485,3, </w:t>
      </w:r>
      <w:r w:rsidRPr="005023A1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p w:rsidR="00A84CD4" w:rsidRPr="005023A1" w:rsidRDefault="00A84CD4" w:rsidP="00D0665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Pr="00502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финансово – хозяйственной деятельности МП «ЖЭК-3» за 2012 год.</w:t>
      </w:r>
    </w:p>
    <w:p w:rsidR="00A84CD4" w:rsidRPr="00846231" w:rsidRDefault="00A84CD4" w:rsidP="00D06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083">
        <w:rPr>
          <w:rFonts w:ascii="Times New Roman" w:eastAsia="Times New Roman" w:hAnsi="Times New Roman"/>
          <w:sz w:val="24"/>
          <w:szCs w:val="24"/>
          <w:lang w:eastAsia="ru-RU"/>
        </w:rPr>
        <w:t>По итогам деятельности МП «ЖЭК -3» за 201</w:t>
      </w:r>
      <w:r w:rsidR="0088016D" w:rsidRPr="00E640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64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сложился отрицательный финансовый результат в размере </w:t>
      </w:r>
      <w:r w:rsidR="006E519F" w:rsidRPr="00E64083">
        <w:rPr>
          <w:rFonts w:ascii="Times New Roman" w:eastAsia="Times New Roman" w:hAnsi="Times New Roman"/>
          <w:sz w:val="24"/>
          <w:szCs w:val="24"/>
          <w:lang w:eastAsia="ru-RU"/>
        </w:rPr>
        <w:t>13,82</w:t>
      </w:r>
      <w:r w:rsidRPr="00E64083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рублей, что на </w:t>
      </w:r>
      <w:r w:rsidR="006E519F" w:rsidRPr="00E64083">
        <w:rPr>
          <w:rFonts w:ascii="Times New Roman" w:eastAsia="Times New Roman" w:hAnsi="Times New Roman"/>
          <w:sz w:val="24"/>
          <w:szCs w:val="24"/>
          <w:lang w:eastAsia="ru-RU"/>
        </w:rPr>
        <w:t>24,7</w:t>
      </w:r>
      <w:r w:rsidRPr="00E64083">
        <w:rPr>
          <w:rFonts w:ascii="Times New Roman" w:eastAsia="Times New Roman" w:hAnsi="Times New Roman"/>
          <w:sz w:val="24"/>
          <w:szCs w:val="24"/>
          <w:lang w:eastAsia="ru-RU"/>
        </w:rPr>
        <w:t>% меньше по сравнению с 201</w:t>
      </w:r>
      <w:r w:rsidR="006E519F" w:rsidRPr="00E6408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64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годом:</w:t>
      </w:r>
    </w:p>
    <w:p w:rsidR="00A84CD4" w:rsidRPr="001B7A68" w:rsidRDefault="00A84CD4" w:rsidP="00D0665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1B7A68">
        <w:rPr>
          <w:rFonts w:ascii="Times New Roman" w:hAnsi="Times New Roman"/>
          <w:sz w:val="24"/>
          <w:szCs w:val="24"/>
        </w:rPr>
        <w:t>(млн. рублей)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3"/>
        <w:gridCol w:w="1747"/>
        <w:gridCol w:w="1583"/>
        <w:gridCol w:w="1854"/>
        <w:gridCol w:w="1046"/>
      </w:tblGrid>
      <w:tr w:rsidR="00846231" w:rsidRPr="00754987" w:rsidTr="00846231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31" w:rsidRPr="00754987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9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5E68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465E68" w:rsidRDefault="00846231" w:rsidP="008462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5E68">
              <w:rPr>
                <w:rFonts w:ascii="Times New Roman" w:hAnsi="Times New Roman"/>
                <w:sz w:val="24"/>
                <w:szCs w:val="24"/>
              </w:rPr>
              <w:t xml:space="preserve">2011 год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2012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31" w:rsidRPr="009D4811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48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46231" w:rsidRPr="00754987" w:rsidTr="00846231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754987" w:rsidRDefault="006100F6" w:rsidP="003B75E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5E68">
              <w:rPr>
                <w:rFonts w:ascii="Times New Roman" w:hAnsi="Times New Roman"/>
                <w:sz w:val="24"/>
                <w:szCs w:val="24"/>
                <w:lang w:eastAsia="ar-SA"/>
              </w:rPr>
              <w:t>142,88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138,9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EF57E4" w:rsidRDefault="00A3169F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97,5</w:t>
            </w:r>
          </w:p>
        </w:tc>
      </w:tr>
      <w:tr w:rsidR="00846231" w:rsidRPr="00754987" w:rsidTr="00846231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754987" w:rsidRDefault="006100F6" w:rsidP="003B75E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5E68">
              <w:rPr>
                <w:rFonts w:ascii="Times New Roman" w:hAnsi="Times New Roman"/>
                <w:sz w:val="24"/>
                <w:szCs w:val="24"/>
                <w:lang w:eastAsia="ar-SA"/>
              </w:rPr>
              <w:t>233,16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225,86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219,5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EF57E4" w:rsidRDefault="00A3169F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97,2</w:t>
            </w:r>
          </w:p>
        </w:tc>
      </w:tr>
      <w:tr w:rsidR="00846231" w:rsidRPr="00754987" w:rsidTr="00846231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6231" w:rsidRPr="00754987" w:rsidRDefault="00846231" w:rsidP="003B75E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4987">
              <w:rPr>
                <w:rFonts w:ascii="Times New Roman" w:hAnsi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5E68">
              <w:rPr>
                <w:rFonts w:ascii="Times New Roman" w:hAnsi="Times New Roman"/>
                <w:sz w:val="24"/>
                <w:szCs w:val="24"/>
                <w:lang w:eastAsia="ar-SA"/>
              </w:rPr>
              <w:t>-90,28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5E6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83,45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-80,6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6231" w:rsidRPr="00EF57E4" w:rsidRDefault="00A3169F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96,6</w:t>
            </w:r>
          </w:p>
        </w:tc>
      </w:tr>
      <w:tr w:rsidR="00846231" w:rsidRPr="00754987" w:rsidTr="00846231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754987" w:rsidRDefault="00846231" w:rsidP="003B75E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4987">
              <w:rPr>
                <w:rFonts w:ascii="Times New Roman" w:hAnsi="Times New Roman"/>
                <w:sz w:val="24"/>
                <w:szCs w:val="24"/>
              </w:rPr>
              <w:t>Прочие доходы и расходы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5E68">
              <w:rPr>
                <w:rFonts w:ascii="Times New Roman" w:hAnsi="Times New Roman"/>
                <w:sz w:val="24"/>
                <w:szCs w:val="24"/>
                <w:lang w:eastAsia="ar-SA"/>
              </w:rPr>
              <w:t>-28,40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27,59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465E68" w:rsidRDefault="00846231" w:rsidP="00A3169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66,</w:t>
            </w:r>
            <w:r w:rsidR="00A3169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EF57E4" w:rsidRDefault="001212A5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2,4 раз.</w:t>
            </w:r>
          </w:p>
        </w:tc>
      </w:tr>
      <w:tr w:rsidR="00846231" w:rsidRPr="00754987" w:rsidTr="00846231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754987" w:rsidRDefault="00846231" w:rsidP="003B75E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 р</w:t>
            </w:r>
            <w:r w:rsidRPr="00754987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5E68">
              <w:rPr>
                <w:rFonts w:ascii="Times New Roman" w:hAnsi="Times New Roman"/>
                <w:sz w:val="24"/>
                <w:szCs w:val="24"/>
                <w:lang w:eastAsia="ar-SA"/>
              </w:rPr>
              <w:t>-118,68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5E6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55,86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465E68" w:rsidRDefault="00846231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-13,82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EF57E4" w:rsidRDefault="001212A5" w:rsidP="003B7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24,7</w:t>
            </w:r>
          </w:p>
        </w:tc>
      </w:tr>
    </w:tbl>
    <w:p w:rsidR="00A3169F" w:rsidRPr="00A3169F" w:rsidRDefault="006100F6" w:rsidP="00D06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Доходы предприятия </w:t>
      </w:r>
      <w:r w:rsidR="00A3169F" w:rsidRPr="00A3169F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 по оказанию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коммунальных </w:t>
      </w:r>
      <w:r w:rsidR="00A3169F" w:rsidRPr="00A3169F">
        <w:rPr>
          <w:rFonts w:ascii="Times New Roman" w:eastAsia="Times New Roman" w:hAnsi="Times New Roman"/>
          <w:sz w:val="24"/>
          <w:szCs w:val="24"/>
          <w:lang w:eastAsia="ru-RU"/>
        </w:rPr>
        <w:t>услуг без учета НДС состав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A3169F" w:rsidRPr="00A3169F">
        <w:rPr>
          <w:rFonts w:ascii="Times New Roman" w:eastAsia="Times New Roman" w:hAnsi="Times New Roman"/>
          <w:sz w:val="24"/>
          <w:szCs w:val="24"/>
          <w:lang w:eastAsia="ru-RU"/>
        </w:rPr>
        <w:t xml:space="preserve"> 138,9 млн. рублей, наиболее показательными были объемы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A3169F" w:rsidRPr="00A3169F">
        <w:rPr>
          <w:rFonts w:ascii="Times New Roman" w:eastAsia="Times New Roman" w:hAnsi="Times New Roman"/>
          <w:sz w:val="24"/>
          <w:szCs w:val="24"/>
          <w:lang w:eastAsia="ru-RU"/>
        </w:rPr>
        <w:t xml:space="preserve"> за 1 квартал 2012г в размере 43,4 млн. рублей и 4 квартал 2012г. в размере 46,9 млн. рублей. За 2011 год </w:t>
      </w:r>
      <w:r w:rsidR="00B124CB">
        <w:rPr>
          <w:rFonts w:ascii="Times New Roman" w:eastAsia="Times New Roman" w:hAnsi="Times New Roman"/>
          <w:sz w:val="24"/>
          <w:szCs w:val="24"/>
          <w:lang w:eastAsia="ru-RU"/>
        </w:rPr>
        <w:t>доход</w:t>
      </w:r>
      <w:r w:rsidR="00A3169F" w:rsidRPr="00A3169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</w:t>
      </w:r>
      <w:r w:rsidR="00A3169F">
        <w:rPr>
          <w:rFonts w:ascii="Times New Roman" w:eastAsia="Times New Roman" w:hAnsi="Times New Roman"/>
          <w:sz w:val="24"/>
          <w:szCs w:val="24"/>
          <w:lang w:eastAsia="ru-RU"/>
        </w:rPr>
        <w:t>142,4</w:t>
      </w:r>
      <w:r w:rsidR="00A3169F" w:rsidRPr="00A3169F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рублей. Уровень </w:t>
      </w:r>
      <w:r w:rsidR="00F12C07">
        <w:rPr>
          <w:rFonts w:ascii="Times New Roman" w:eastAsia="Times New Roman" w:hAnsi="Times New Roman"/>
          <w:sz w:val="24"/>
          <w:szCs w:val="24"/>
          <w:lang w:eastAsia="ru-RU"/>
        </w:rPr>
        <w:t>дохода</w:t>
      </w:r>
      <w:r w:rsidR="00A3169F" w:rsidRPr="00A3169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сравнению с прошлым годом снизился и составил </w:t>
      </w:r>
      <w:r w:rsidR="001212A5">
        <w:rPr>
          <w:rFonts w:ascii="Times New Roman" w:eastAsia="Times New Roman" w:hAnsi="Times New Roman"/>
          <w:sz w:val="24"/>
          <w:szCs w:val="24"/>
          <w:lang w:eastAsia="ru-RU"/>
        </w:rPr>
        <w:t>97,5</w:t>
      </w:r>
      <w:r w:rsidR="00A3169F" w:rsidRPr="00A3169F">
        <w:rPr>
          <w:rFonts w:ascii="Times New Roman" w:eastAsia="Times New Roman" w:hAnsi="Times New Roman"/>
          <w:sz w:val="24"/>
          <w:szCs w:val="24"/>
          <w:lang w:eastAsia="ru-RU"/>
        </w:rPr>
        <w:t xml:space="preserve">%. Снижение объема </w:t>
      </w:r>
      <w:r w:rsidR="00F12C07">
        <w:rPr>
          <w:rFonts w:ascii="Times New Roman" w:eastAsia="Times New Roman" w:hAnsi="Times New Roman"/>
          <w:sz w:val="24"/>
          <w:szCs w:val="24"/>
          <w:lang w:eastAsia="ru-RU"/>
        </w:rPr>
        <w:t>дохода</w:t>
      </w:r>
      <w:r w:rsidR="00A3169F" w:rsidRPr="00A316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произошло в связи установлением  основной массы потребителей приборов учета тепловой энергии, а также водоснабжения.</w:t>
      </w:r>
    </w:p>
    <w:p w:rsidR="00033889" w:rsidRPr="00033889" w:rsidRDefault="00F12C07" w:rsidP="00D06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84CD4" w:rsidRPr="0003388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E519F" w:rsidRPr="000338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84CD4" w:rsidRPr="0003388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84CD4" w:rsidRPr="000338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4C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предприятием </w:t>
      </w:r>
      <w:r w:rsidR="00A84CD4" w:rsidRPr="000338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получены </w:t>
      </w:r>
      <w:r w:rsidR="00B124CB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из бюджета Ханты – Мансийского района </w:t>
      </w:r>
      <w:r w:rsidR="00A84CD4" w:rsidRPr="00033889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 w:rsidR="00747C69">
        <w:rPr>
          <w:rFonts w:ascii="Times New Roman" w:eastAsia="Times New Roman" w:hAnsi="Times New Roman"/>
          <w:sz w:val="24"/>
          <w:szCs w:val="24"/>
          <w:lang w:eastAsia="ru-RU"/>
        </w:rPr>
        <w:t>65 327,92</w:t>
      </w:r>
      <w:r w:rsidR="00A84CD4" w:rsidRPr="000338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(без учета НДС</w:t>
      </w:r>
      <w:r w:rsidR="00033889" w:rsidRPr="00033889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F24B5E" w:rsidRPr="009A1EC9" w:rsidRDefault="00F24B5E" w:rsidP="00D066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EC9">
        <w:rPr>
          <w:rFonts w:ascii="Times New Roman" w:eastAsia="Times New Roman" w:hAnsi="Times New Roman"/>
          <w:sz w:val="24"/>
          <w:szCs w:val="24"/>
          <w:lang w:eastAsia="ru-RU"/>
        </w:rPr>
        <w:t>- на вывоз ЖБО</w:t>
      </w:r>
      <w:r w:rsidR="00033889" w:rsidRPr="009A1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1EC9" w:rsidRPr="009A1EC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A1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1EC9" w:rsidRPr="009A1EC9">
        <w:rPr>
          <w:rFonts w:ascii="Times New Roman" w:eastAsia="Times New Roman" w:hAnsi="Times New Roman"/>
          <w:sz w:val="24"/>
          <w:szCs w:val="24"/>
          <w:lang w:eastAsia="ru-RU"/>
        </w:rPr>
        <w:t>6 448,6</w:t>
      </w:r>
      <w:r w:rsidR="00747C6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A1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335" w:rsidRPr="009A1EC9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Pr="009A1EC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033889" w:rsidRPr="009A1EC9" w:rsidRDefault="00F24B5E" w:rsidP="00D066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EC9">
        <w:rPr>
          <w:rFonts w:ascii="Times New Roman" w:eastAsia="Times New Roman" w:hAnsi="Times New Roman"/>
          <w:sz w:val="24"/>
          <w:szCs w:val="24"/>
          <w:lang w:eastAsia="ru-RU"/>
        </w:rPr>
        <w:t>- на сбор и вывоз</w:t>
      </w:r>
      <w:r w:rsidR="00033889" w:rsidRPr="009A1EC9">
        <w:rPr>
          <w:rFonts w:ascii="Times New Roman" w:eastAsia="Times New Roman" w:hAnsi="Times New Roman"/>
          <w:sz w:val="24"/>
          <w:szCs w:val="24"/>
          <w:lang w:eastAsia="ru-RU"/>
        </w:rPr>
        <w:t xml:space="preserve"> ТБО – </w:t>
      </w:r>
      <w:r w:rsidR="009A1EC9" w:rsidRPr="009A1EC9">
        <w:rPr>
          <w:rFonts w:ascii="Times New Roman" w:eastAsia="Times New Roman" w:hAnsi="Times New Roman"/>
          <w:sz w:val="24"/>
          <w:szCs w:val="24"/>
          <w:lang w:eastAsia="ru-RU"/>
        </w:rPr>
        <w:t>2 559,3</w:t>
      </w:r>
      <w:r w:rsidR="00747C6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33889" w:rsidRPr="009A1EC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F24B5E" w:rsidRPr="00297FBB" w:rsidRDefault="00033889" w:rsidP="00D066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24B5E" w:rsidRPr="003A48F5">
        <w:rPr>
          <w:rFonts w:ascii="Times New Roman" w:eastAsia="Times New Roman" w:hAnsi="Times New Roman"/>
          <w:sz w:val="24"/>
          <w:szCs w:val="24"/>
          <w:lang w:eastAsia="ru-RU"/>
        </w:rPr>
        <w:t>утилизаци</w:t>
      </w: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я и переработка бытовых отходов – </w:t>
      </w:r>
      <w:r w:rsidR="003A48F5" w:rsidRPr="003A48F5">
        <w:rPr>
          <w:rFonts w:ascii="Times New Roman" w:eastAsia="Times New Roman" w:hAnsi="Times New Roman"/>
          <w:sz w:val="24"/>
          <w:szCs w:val="24"/>
          <w:lang w:eastAsia="ru-RU"/>
        </w:rPr>
        <w:t>6 427,94</w:t>
      </w: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F24B5E"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4B5E" w:rsidRPr="00747C69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рублей; </w:t>
      </w:r>
    </w:p>
    <w:p w:rsidR="00F24B5E" w:rsidRPr="003A48F5" w:rsidRDefault="00F24B5E" w:rsidP="00D066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- на содержание бань </w:t>
      </w:r>
      <w:r w:rsidR="003A48F5" w:rsidRPr="003A48F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33889"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8F5" w:rsidRPr="003A48F5">
        <w:rPr>
          <w:rFonts w:ascii="Times New Roman" w:eastAsia="Times New Roman" w:hAnsi="Times New Roman"/>
          <w:sz w:val="24"/>
          <w:szCs w:val="24"/>
          <w:lang w:eastAsia="ru-RU"/>
        </w:rPr>
        <w:t>27 034,78</w:t>
      </w:r>
      <w:r w:rsidR="00924ABC"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F24B5E" w:rsidRPr="003A48F5" w:rsidRDefault="00F24B5E" w:rsidP="00D066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компенсация расходов по доставке угля </w:t>
      </w:r>
      <w:r w:rsidR="00033889"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24ABC" w:rsidRPr="003A48F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83669" w:rsidRPr="003A48F5">
        <w:rPr>
          <w:rFonts w:ascii="Times New Roman" w:eastAsia="Times New Roman" w:hAnsi="Times New Roman"/>
          <w:sz w:val="24"/>
          <w:szCs w:val="24"/>
          <w:lang w:eastAsia="ru-RU"/>
        </w:rPr>
        <w:t> 264,3</w:t>
      </w:r>
      <w:r w:rsidR="00747C6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ABC" w:rsidRPr="003A48F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>. рублей;</w:t>
      </w:r>
    </w:p>
    <w:p w:rsidR="00F24B5E" w:rsidRPr="003A48F5" w:rsidRDefault="00F24B5E" w:rsidP="00D066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доставка питьевой воды </w:t>
      </w:r>
      <w:r w:rsidR="003A48F5" w:rsidRPr="003A48F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33889"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8F5" w:rsidRPr="003A48F5">
        <w:rPr>
          <w:rFonts w:ascii="Times New Roman" w:eastAsia="Times New Roman" w:hAnsi="Times New Roman"/>
          <w:sz w:val="24"/>
          <w:szCs w:val="24"/>
          <w:lang w:eastAsia="ru-RU"/>
        </w:rPr>
        <w:t>10 793,2</w:t>
      </w:r>
      <w:r w:rsidR="00747C6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889" w:rsidRPr="003A48F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>. рублей;</w:t>
      </w:r>
    </w:p>
    <w:p w:rsidR="00F24B5E" w:rsidRDefault="00F24B5E" w:rsidP="00D066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- на содержание КОС </w:t>
      </w:r>
      <w:r w:rsidR="00033889" w:rsidRPr="003A48F5">
        <w:rPr>
          <w:rFonts w:ascii="Times New Roman" w:eastAsia="Times New Roman" w:hAnsi="Times New Roman"/>
          <w:sz w:val="24"/>
          <w:szCs w:val="24"/>
          <w:lang w:eastAsia="ru-RU"/>
        </w:rPr>
        <w:t>- 1 799,8</w:t>
      </w:r>
      <w:r w:rsidR="00747C6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33889"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3A48F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A84CD4" w:rsidRPr="00846231" w:rsidRDefault="00A84CD4" w:rsidP="00D06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231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Отрицательный финансовый результат </w:t>
      </w:r>
      <w:r w:rsidR="005A4CE0">
        <w:rPr>
          <w:rFonts w:ascii="Times New Roman" w:eastAsia="Times New Roman" w:hAnsi="Times New Roman"/>
          <w:sz w:val="24"/>
          <w:szCs w:val="24"/>
          <w:lang w:eastAsia="ru-RU"/>
        </w:rPr>
        <w:t>за 2012 год по МП «ЖЭК-3»</w:t>
      </w:r>
      <w:r w:rsidRPr="00846231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сложился по </w:t>
      </w:r>
      <w:r w:rsidR="005A4CE0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пяти </w:t>
      </w:r>
      <w:r w:rsidRPr="00846231">
        <w:rPr>
          <w:rFonts w:ascii="Times New Roman" w:eastAsia="Times New Roman" w:hAnsi="Times New Roman"/>
          <w:sz w:val="24"/>
          <w:szCs w:val="24"/>
          <w:lang w:eastAsia="ru-RU"/>
        </w:rPr>
        <w:t>видам экономической деятельности, при этом максимальный убыток за 201</w:t>
      </w:r>
      <w:r w:rsidR="005A4C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4623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прослеживается по теплоснабжению – </w:t>
      </w:r>
      <w:r w:rsidR="005A4CE0">
        <w:rPr>
          <w:rFonts w:ascii="Times New Roman" w:eastAsia="Times New Roman" w:hAnsi="Times New Roman"/>
          <w:sz w:val="24"/>
          <w:szCs w:val="24"/>
          <w:lang w:eastAsia="ru-RU"/>
        </w:rPr>
        <w:t>24,8</w:t>
      </w:r>
      <w:r w:rsidRPr="00846231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рублей. Прибыль за </w:t>
      </w:r>
      <w:r w:rsidR="005A4CE0">
        <w:rPr>
          <w:rFonts w:ascii="Times New Roman" w:eastAsia="Times New Roman" w:hAnsi="Times New Roman"/>
          <w:sz w:val="24"/>
          <w:szCs w:val="24"/>
          <w:lang w:eastAsia="ru-RU"/>
        </w:rPr>
        <w:t>2012 год</w:t>
      </w:r>
      <w:r w:rsidRPr="0084623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получена предприятием </w:t>
      </w:r>
      <w:r w:rsidR="005A4CE0">
        <w:rPr>
          <w:rFonts w:ascii="Times New Roman" w:eastAsia="Times New Roman" w:hAnsi="Times New Roman"/>
          <w:sz w:val="24"/>
          <w:szCs w:val="24"/>
          <w:lang w:eastAsia="ru-RU"/>
        </w:rPr>
        <w:t>по трем</w:t>
      </w:r>
      <w:r w:rsidRPr="00846231">
        <w:rPr>
          <w:rFonts w:ascii="Times New Roman" w:eastAsia="Times New Roman" w:hAnsi="Times New Roman"/>
          <w:sz w:val="24"/>
          <w:szCs w:val="24"/>
          <w:lang w:eastAsia="ru-RU"/>
        </w:rPr>
        <w:t xml:space="preserve"> вид</w:t>
      </w:r>
      <w:r w:rsidR="005A4CE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846231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экономической деятельности</w:t>
      </w:r>
      <w:r w:rsidR="005A4CE0">
        <w:rPr>
          <w:rFonts w:ascii="Times New Roman" w:eastAsia="Times New Roman" w:hAnsi="Times New Roman"/>
          <w:sz w:val="24"/>
          <w:szCs w:val="24"/>
          <w:lang w:eastAsia="ru-RU"/>
        </w:rPr>
        <w:t>, максимальный размер прибыли составил</w:t>
      </w:r>
      <w:r w:rsidRPr="0084623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услуг</w:t>
      </w:r>
      <w:r w:rsidR="005A4CE0">
        <w:rPr>
          <w:rFonts w:ascii="Times New Roman" w:eastAsia="Times New Roman" w:hAnsi="Times New Roman"/>
          <w:sz w:val="24"/>
          <w:szCs w:val="24"/>
          <w:lang w:eastAsia="ru-RU"/>
        </w:rPr>
        <w:t>е хранение ГСМ</w:t>
      </w:r>
      <w:r w:rsidRPr="0084623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A4CE0">
        <w:rPr>
          <w:rFonts w:ascii="Times New Roman" w:eastAsia="Times New Roman" w:hAnsi="Times New Roman"/>
          <w:sz w:val="24"/>
          <w:szCs w:val="24"/>
          <w:lang w:eastAsia="ru-RU"/>
        </w:rPr>
        <w:t xml:space="preserve">1,7 </w:t>
      </w:r>
      <w:r w:rsidRPr="00846231">
        <w:rPr>
          <w:rFonts w:ascii="Times New Roman" w:eastAsia="Times New Roman" w:hAnsi="Times New Roman"/>
          <w:sz w:val="24"/>
          <w:szCs w:val="24"/>
          <w:lang w:eastAsia="ru-RU"/>
        </w:rPr>
        <w:t>млн. рублей.</w:t>
      </w:r>
    </w:p>
    <w:p w:rsidR="00A84CD4" w:rsidRPr="00FB41E7" w:rsidRDefault="00A84CD4" w:rsidP="00A84CD4">
      <w:pPr>
        <w:pStyle w:val="a5"/>
        <w:autoSpaceDE w:val="0"/>
        <w:autoSpaceDN w:val="0"/>
        <w:adjustRightInd w:val="0"/>
        <w:ind w:left="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1E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878E8" w:rsidRPr="00FB41E7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руб.</w:t>
      </w:r>
      <w:r w:rsidRPr="00FB41E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559"/>
        <w:gridCol w:w="1559"/>
        <w:gridCol w:w="1559"/>
      </w:tblGrid>
      <w:tr w:rsidR="00A878E8" w:rsidRPr="00FB41E7" w:rsidTr="001E267F">
        <w:trPr>
          <w:trHeight w:val="45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878E8" w:rsidRPr="00FB41E7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1E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FB41E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B41E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878E8" w:rsidRPr="00FB41E7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1E7">
              <w:rPr>
                <w:rFonts w:ascii="Times New Roman" w:hAnsi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6095" w:type="dxa"/>
            <w:gridSpan w:val="4"/>
            <w:vAlign w:val="center"/>
          </w:tcPr>
          <w:p w:rsidR="00A878E8" w:rsidRPr="00FB41E7" w:rsidRDefault="00A878E8" w:rsidP="004B143D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1E7">
              <w:rPr>
                <w:rFonts w:ascii="Times New Roman" w:hAnsi="Times New Roman"/>
                <w:sz w:val="16"/>
                <w:szCs w:val="16"/>
              </w:rPr>
              <w:t>201</w:t>
            </w:r>
            <w:r w:rsidR="004B143D" w:rsidRPr="00FB41E7">
              <w:rPr>
                <w:rFonts w:ascii="Times New Roman" w:hAnsi="Times New Roman"/>
                <w:sz w:val="16"/>
                <w:szCs w:val="16"/>
              </w:rPr>
              <w:t>2</w:t>
            </w:r>
            <w:r w:rsidRPr="00FB41E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A878E8" w:rsidRPr="00D20CD8" w:rsidTr="00A878E8">
        <w:trPr>
          <w:trHeight w:val="453"/>
        </w:trPr>
        <w:tc>
          <w:tcPr>
            <w:tcW w:w="709" w:type="dxa"/>
            <w:vMerge/>
            <w:shd w:val="clear" w:color="auto" w:fill="auto"/>
            <w:vAlign w:val="center"/>
          </w:tcPr>
          <w:p w:rsidR="00A878E8" w:rsidRPr="00D20CD8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78E8" w:rsidRPr="00D20CD8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878E8" w:rsidRPr="00A878E8" w:rsidRDefault="00A878E8" w:rsidP="00A878E8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A878E8">
              <w:rPr>
                <w:rFonts w:ascii="Times New Roman" w:hAnsi="Times New Roman"/>
                <w:sz w:val="20"/>
              </w:rPr>
              <w:t>Затраты</w:t>
            </w:r>
          </w:p>
        </w:tc>
        <w:tc>
          <w:tcPr>
            <w:tcW w:w="1559" w:type="dxa"/>
            <w:vAlign w:val="center"/>
          </w:tcPr>
          <w:p w:rsidR="00A878E8" w:rsidRPr="00A878E8" w:rsidRDefault="00A878E8" w:rsidP="00A878E8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A878E8">
              <w:rPr>
                <w:rFonts w:ascii="Times New Roman" w:hAnsi="Times New Roman"/>
                <w:sz w:val="20"/>
              </w:rPr>
              <w:t>Доход</w:t>
            </w:r>
          </w:p>
        </w:tc>
        <w:tc>
          <w:tcPr>
            <w:tcW w:w="1559" w:type="dxa"/>
            <w:vAlign w:val="center"/>
          </w:tcPr>
          <w:p w:rsidR="00A878E8" w:rsidRPr="00A878E8" w:rsidRDefault="00A878E8" w:rsidP="00A878E8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A878E8">
              <w:rPr>
                <w:rFonts w:ascii="Times New Roman" w:hAnsi="Times New Roman"/>
                <w:sz w:val="20"/>
              </w:rPr>
              <w:t>Субсидии</w:t>
            </w:r>
          </w:p>
        </w:tc>
        <w:tc>
          <w:tcPr>
            <w:tcW w:w="1559" w:type="dxa"/>
            <w:vAlign w:val="center"/>
          </w:tcPr>
          <w:p w:rsidR="00A878E8" w:rsidRPr="00A878E8" w:rsidRDefault="00A878E8" w:rsidP="00A878E8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A878E8">
              <w:rPr>
                <w:rFonts w:ascii="Times New Roman" w:hAnsi="Times New Roman"/>
                <w:sz w:val="20"/>
              </w:rPr>
              <w:t>Финансовый результат (прибыль, убытки)</w:t>
            </w:r>
          </w:p>
        </w:tc>
      </w:tr>
      <w:tr w:rsidR="00A878E8" w:rsidRPr="00224329" w:rsidTr="00BD4D9F">
        <w:trPr>
          <w:trHeight w:val="401"/>
        </w:trPr>
        <w:tc>
          <w:tcPr>
            <w:tcW w:w="709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Теплоснабжение</w:t>
            </w:r>
          </w:p>
        </w:tc>
        <w:tc>
          <w:tcPr>
            <w:tcW w:w="1418" w:type="dxa"/>
            <w:vAlign w:val="center"/>
          </w:tcPr>
          <w:p w:rsidR="00A878E8" w:rsidRPr="00224329" w:rsidRDefault="00A878E8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130 754,42</w:t>
            </w:r>
          </w:p>
        </w:tc>
        <w:tc>
          <w:tcPr>
            <w:tcW w:w="1559" w:type="dxa"/>
            <w:vAlign w:val="center"/>
          </w:tcPr>
          <w:p w:rsidR="00A878E8" w:rsidRPr="00224329" w:rsidRDefault="00A878E8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95 633,17</w:t>
            </w:r>
          </w:p>
        </w:tc>
        <w:tc>
          <w:tcPr>
            <w:tcW w:w="1559" w:type="dxa"/>
            <w:vAlign w:val="center"/>
          </w:tcPr>
          <w:p w:rsidR="00A878E8" w:rsidRPr="00224329" w:rsidRDefault="00A878E8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10 264,3</w:t>
            </w:r>
            <w:r w:rsidR="00005E8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878E8" w:rsidRPr="00224329" w:rsidRDefault="00A878E8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-24 856,95</w:t>
            </w:r>
          </w:p>
        </w:tc>
      </w:tr>
      <w:tr w:rsidR="00A878E8" w:rsidRPr="00224329" w:rsidTr="00BD4D9F">
        <w:tc>
          <w:tcPr>
            <w:tcW w:w="709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A878E8" w:rsidRPr="00224329" w:rsidRDefault="00A878E8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18 776,32</w:t>
            </w:r>
          </w:p>
        </w:tc>
        <w:tc>
          <w:tcPr>
            <w:tcW w:w="1559" w:type="dxa"/>
            <w:vAlign w:val="center"/>
          </w:tcPr>
          <w:p w:rsidR="00A878E8" w:rsidRPr="00224329" w:rsidRDefault="00A878E8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6 699,89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A878E8" w:rsidRPr="00224329" w:rsidRDefault="00A878E8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-12 076,43</w:t>
            </w:r>
          </w:p>
        </w:tc>
      </w:tr>
      <w:tr w:rsidR="00A878E8" w:rsidRPr="00224329" w:rsidTr="00BD4D9F">
        <w:tc>
          <w:tcPr>
            <w:tcW w:w="709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Подвоз воды</w:t>
            </w:r>
          </w:p>
        </w:tc>
        <w:tc>
          <w:tcPr>
            <w:tcW w:w="1418" w:type="dxa"/>
            <w:vAlign w:val="center"/>
          </w:tcPr>
          <w:p w:rsidR="00A878E8" w:rsidRPr="00224329" w:rsidRDefault="00A878E8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2 870,28</w:t>
            </w:r>
          </w:p>
        </w:tc>
        <w:tc>
          <w:tcPr>
            <w:tcW w:w="1559" w:type="dxa"/>
            <w:vAlign w:val="center"/>
          </w:tcPr>
          <w:p w:rsidR="00A878E8" w:rsidRPr="00224329" w:rsidRDefault="00A878E8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1 636,84</w:t>
            </w:r>
          </w:p>
        </w:tc>
        <w:tc>
          <w:tcPr>
            <w:tcW w:w="1559" w:type="dxa"/>
            <w:vAlign w:val="center"/>
          </w:tcPr>
          <w:p w:rsidR="00A878E8" w:rsidRPr="00224329" w:rsidRDefault="00202AF7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514,8</w:t>
            </w:r>
            <w:r w:rsidR="00005E8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878E8" w:rsidRPr="00224329" w:rsidRDefault="00A878E8" w:rsidP="00202AF7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202AF7">
              <w:rPr>
                <w:rFonts w:ascii="Times New Roman" w:hAnsi="Times New Roman"/>
                <w:sz w:val="20"/>
              </w:rPr>
              <w:t>718,64</w:t>
            </w:r>
          </w:p>
        </w:tc>
      </w:tr>
      <w:tr w:rsidR="00A878E8" w:rsidRPr="00224329" w:rsidTr="00BD4D9F">
        <w:tc>
          <w:tcPr>
            <w:tcW w:w="709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Вывоз ЖБО</w:t>
            </w:r>
          </w:p>
        </w:tc>
        <w:tc>
          <w:tcPr>
            <w:tcW w:w="1418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9 832,67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8 723,6</w:t>
            </w:r>
            <w:r w:rsidR="00005E8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878E8" w:rsidRPr="00224329" w:rsidRDefault="00202AF7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904,6</w:t>
            </w:r>
            <w:r w:rsidR="00005E8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202AF7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202AF7">
              <w:rPr>
                <w:rFonts w:ascii="Times New Roman" w:hAnsi="Times New Roman"/>
                <w:sz w:val="20"/>
              </w:rPr>
              <w:t>204,47</w:t>
            </w:r>
          </w:p>
        </w:tc>
      </w:tr>
      <w:tr w:rsidR="00A878E8" w:rsidRPr="00224329" w:rsidTr="00BD4D9F">
        <w:trPr>
          <w:trHeight w:val="377"/>
        </w:trPr>
        <w:tc>
          <w:tcPr>
            <w:tcW w:w="709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Вывоз ТБО</w:t>
            </w:r>
          </w:p>
        </w:tc>
        <w:tc>
          <w:tcPr>
            <w:tcW w:w="1418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1 934,95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1 227,15</w:t>
            </w:r>
          </w:p>
        </w:tc>
        <w:tc>
          <w:tcPr>
            <w:tcW w:w="1559" w:type="dxa"/>
            <w:vAlign w:val="center"/>
          </w:tcPr>
          <w:p w:rsidR="00A878E8" w:rsidRPr="00224329" w:rsidRDefault="00202AF7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54,2</w:t>
            </w:r>
            <w:r w:rsidR="00005E8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202AF7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202AF7">
              <w:rPr>
                <w:rFonts w:ascii="Times New Roman" w:hAnsi="Times New Roman"/>
                <w:sz w:val="20"/>
              </w:rPr>
              <w:t>653,6</w:t>
            </w:r>
            <w:r w:rsidR="00005E8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878E8" w:rsidRPr="00224329" w:rsidTr="00BD4D9F">
        <w:trPr>
          <w:trHeight w:val="377"/>
        </w:trPr>
        <w:tc>
          <w:tcPr>
            <w:tcW w:w="709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A878E8" w:rsidRPr="00224329" w:rsidRDefault="00B124CB" w:rsidP="003B75E5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B124CB">
              <w:rPr>
                <w:rFonts w:ascii="Times New Roman" w:hAnsi="Times New Roman"/>
                <w:sz w:val="20"/>
              </w:rPr>
              <w:t>Утилизация и переработка бытовых отходов</w:t>
            </w:r>
          </w:p>
        </w:tc>
        <w:tc>
          <w:tcPr>
            <w:tcW w:w="1418" w:type="dxa"/>
            <w:vAlign w:val="center"/>
          </w:tcPr>
          <w:p w:rsidR="00A878E8" w:rsidRPr="00224329" w:rsidRDefault="00297FB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6 427,9</w:t>
            </w:r>
            <w:r w:rsidR="00005E8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A878E8" w:rsidRPr="00224329" w:rsidRDefault="00297FB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6 427,9</w:t>
            </w:r>
            <w:r w:rsidR="00005E8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878E8" w:rsidRPr="00224329" w:rsidRDefault="001E267F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878E8" w:rsidRPr="00514C4B" w:rsidTr="00BD4D9F">
        <w:tc>
          <w:tcPr>
            <w:tcW w:w="709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Банные услуги</w:t>
            </w:r>
          </w:p>
        </w:tc>
        <w:tc>
          <w:tcPr>
            <w:tcW w:w="1418" w:type="dxa"/>
            <w:vAlign w:val="center"/>
          </w:tcPr>
          <w:p w:rsidR="00A878E8" w:rsidRPr="00514C4B" w:rsidRDefault="00297FBB" w:rsidP="00297FB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28 009,26</w:t>
            </w:r>
          </w:p>
        </w:tc>
        <w:tc>
          <w:tcPr>
            <w:tcW w:w="1559" w:type="dxa"/>
            <w:vAlign w:val="center"/>
          </w:tcPr>
          <w:p w:rsidR="00A878E8" w:rsidRPr="00514C4B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514C4B">
              <w:rPr>
                <w:rFonts w:ascii="Times New Roman" w:hAnsi="Times New Roman"/>
                <w:sz w:val="20"/>
              </w:rPr>
              <w:t>974,48</w:t>
            </w:r>
          </w:p>
        </w:tc>
        <w:tc>
          <w:tcPr>
            <w:tcW w:w="1559" w:type="dxa"/>
            <w:vAlign w:val="center"/>
          </w:tcPr>
          <w:p w:rsidR="00A878E8" w:rsidRPr="00514C4B" w:rsidRDefault="00297FB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27 034,78</w:t>
            </w:r>
          </w:p>
        </w:tc>
        <w:tc>
          <w:tcPr>
            <w:tcW w:w="1559" w:type="dxa"/>
            <w:vAlign w:val="center"/>
          </w:tcPr>
          <w:p w:rsidR="00A878E8" w:rsidRPr="00514C4B" w:rsidRDefault="00514C4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514C4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878E8" w:rsidRPr="00224329" w:rsidTr="00BD4D9F">
        <w:tc>
          <w:tcPr>
            <w:tcW w:w="709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Услуги автотранспорта</w:t>
            </w:r>
          </w:p>
        </w:tc>
        <w:tc>
          <w:tcPr>
            <w:tcW w:w="1418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5 724,14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6 035,49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311,35</w:t>
            </w:r>
          </w:p>
        </w:tc>
      </w:tr>
      <w:tr w:rsidR="00A878E8" w:rsidRPr="00224329" w:rsidTr="00BD4D9F">
        <w:tc>
          <w:tcPr>
            <w:tcW w:w="709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Хранение ГСМ</w:t>
            </w:r>
          </w:p>
        </w:tc>
        <w:tc>
          <w:tcPr>
            <w:tcW w:w="1418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9 857,49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11 611,91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1 754,42</w:t>
            </w:r>
          </w:p>
        </w:tc>
      </w:tr>
      <w:tr w:rsidR="00A878E8" w:rsidRPr="00224329" w:rsidTr="00BD4D9F">
        <w:tc>
          <w:tcPr>
            <w:tcW w:w="709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22432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878E8" w:rsidRPr="00224329" w:rsidRDefault="00B22C6B" w:rsidP="003B75E5">
            <w:pPr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Канализационные очистные сооружения</w:t>
            </w:r>
          </w:p>
        </w:tc>
        <w:tc>
          <w:tcPr>
            <w:tcW w:w="1418" w:type="dxa"/>
            <w:vAlign w:val="center"/>
          </w:tcPr>
          <w:p w:rsidR="00A878E8" w:rsidRPr="00224329" w:rsidRDefault="00297FB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1 799,82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A878E8" w:rsidRPr="00224329" w:rsidRDefault="00297FB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1 799,82</w:t>
            </w:r>
          </w:p>
        </w:tc>
        <w:tc>
          <w:tcPr>
            <w:tcW w:w="1559" w:type="dxa"/>
            <w:vAlign w:val="center"/>
          </w:tcPr>
          <w:p w:rsidR="00A878E8" w:rsidRPr="00224329" w:rsidRDefault="001E267F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878E8" w:rsidRPr="00224329" w:rsidTr="00BD4D9F">
        <w:tc>
          <w:tcPr>
            <w:tcW w:w="709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22432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878E8" w:rsidRPr="00224329" w:rsidRDefault="00A878E8" w:rsidP="003B75E5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224329">
              <w:rPr>
                <w:rFonts w:ascii="Times New Roman" w:hAnsi="Times New Roman"/>
                <w:sz w:val="20"/>
              </w:rPr>
              <w:t>Прочие услуги</w:t>
            </w:r>
          </w:p>
        </w:tc>
        <w:tc>
          <w:tcPr>
            <w:tcW w:w="1418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3 547,46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6 360,19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BD4D9F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A878E8" w:rsidRPr="00224329" w:rsidRDefault="00B22C6B" w:rsidP="00005E8C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2 812,7</w:t>
            </w:r>
            <w:r w:rsidR="00005E8C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878E8" w:rsidRPr="00740036" w:rsidTr="00BD4D9F">
        <w:tc>
          <w:tcPr>
            <w:tcW w:w="709" w:type="dxa"/>
            <w:shd w:val="clear" w:color="auto" w:fill="auto"/>
          </w:tcPr>
          <w:p w:rsidR="00A878E8" w:rsidRPr="009F5775" w:rsidRDefault="00A878E8" w:rsidP="003B75E5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sz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A878E8" w:rsidRPr="00740036" w:rsidRDefault="00A878E8" w:rsidP="003B75E5">
            <w:pPr>
              <w:spacing w:line="264" w:lineRule="auto"/>
              <w:rPr>
                <w:rFonts w:ascii="Times New Roman" w:hAnsi="Times New Roman"/>
                <w:b/>
                <w:sz w:val="20"/>
              </w:rPr>
            </w:pPr>
            <w:r w:rsidRPr="00740036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878E8" w:rsidRPr="00740036" w:rsidRDefault="00297FBB" w:rsidP="00005E8C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219 </w:t>
            </w:r>
            <w:r w:rsidR="000B37E5">
              <w:rPr>
                <w:rFonts w:ascii="Times New Roman" w:hAnsi="Times New Roman"/>
                <w:b/>
                <w:sz w:val="20"/>
              </w:rPr>
              <w:t>534</w:t>
            </w:r>
            <w:r>
              <w:rPr>
                <w:rFonts w:ascii="Times New Roman" w:hAnsi="Times New Roman"/>
                <w:b/>
                <w:sz w:val="20"/>
              </w:rPr>
              <w:t>,7</w:t>
            </w:r>
            <w:r w:rsidR="00005E8C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878E8" w:rsidRPr="00740036" w:rsidRDefault="00B22C6B" w:rsidP="00005E8C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138 902,7</w:t>
            </w:r>
            <w:r w:rsidR="00005E8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878E8" w:rsidRPr="00740036" w:rsidRDefault="00BD4D9F" w:rsidP="00005E8C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47 </w:t>
            </w:r>
            <w:r w:rsidR="000B37E5">
              <w:rPr>
                <w:rFonts w:ascii="Times New Roman" w:hAnsi="Times New Roman"/>
                <w:b/>
                <w:sz w:val="20"/>
              </w:rPr>
              <w:t>00</w:t>
            </w:r>
            <w:r w:rsidR="00005E8C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,4</w:t>
            </w:r>
            <w:r w:rsidR="00005E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878E8" w:rsidRPr="00740036" w:rsidRDefault="00BD4D9F" w:rsidP="000B37E5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514C4B">
              <w:rPr>
                <w:rFonts w:ascii="Times New Roman" w:hAnsi="Times New Roman"/>
                <w:b/>
                <w:sz w:val="20"/>
              </w:rPr>
              <w:t>33 </w:t>
            </w:r>
            <w:r w:rsidR="000B37E5">
              <w:rPr>
                <w:rFonts w:ascii="Times New Roman" w:hAnsi="Times New Roman"/>
                <w:b/>
                <w:sz w:val="20"/>
              </w:rPr>
              <w:t>631</w:t>
            </w:r>
            <w:r w:rsidR="00514C4B">
              <w:rPr>
                <w:rFonts w:ascii="Times New Roman" w:hAnsi="Times New Roman"/>
                <w:b/>
                <w:sz w:val="20"/>
              </w:rPr>
              <w:t>,</w:t>
            </w:r>
            <w:r w:rsidR="00A14DFD">
              <w:rPr>
                <w:rFonts w:ascii="Times New Roman" w:hAnsi="Times New Roman"/>
                <w:b/>
                <w:sz w:val="20"/>
              </w:rPr>
              <w:t>59</w:t>
            </w:r>
          </w:p>
        </w:tc>
      </w:tr>
    </w:tbl>
    <w:p w:rsidR="00AA5C9F" w:rsidRDefault="00AA5C9F" w:rsidP="00D0665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CD4" w:rsidRPr="005A4CE0" w:rsidRDefault="00B124CB" w:rsidP="00D0665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предприятия за</w:t>
      </w:r>
      <w:r w:rsidR="00A84CD4" w:rsidRPr="005A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22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4CD4" w:rsidRPr="005A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4CD4" w:rsidRPr="005A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4DE">
        <w:rPr>
          <w:rFonts w:ascii="Times New Roman" w:eastAsia="Times New Roman" w:hAnsi="Times New Roman" w:cs="Times New Roman"/>
          <w:sz w:val="24"/>
          <w:szCs w:val="24"/>
          <w:lang w:eastAsia="ru-RU"/>
        </w:rPr>
        <w:t>219,9</w:t>
      </w:r>
      <w:r w:rsidR="00A84CD4" w:rsidRPr="005A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84CD4" w:rsidRPr="005A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основное производство </w:t>
      </w:r>
      <w:r w:rsidR="00984FDB">
        <w:rPr>
          <w:rFonts w:ascii="Times New Roman" w:eastAsia="Times New Roman" w:hAnsi="Times New Roman" w:cs="Times New Roman"/>
          <w:sz w:val="24"/>
          <w:szCs w:val="24"/>
          <w:lang w:eastAsia="ru-RU"/>
        </w:rPr>
        <w:t>172,8</w:t>
      </w:r>
      <w:r w:rsidR="00A84CD4" w:rsidRPr="005A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на общехозяйственные расходы </w:t>
      </w:r>
      <w:r w:rsidR="00984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84CD4" w:rsidRPr="005A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FDB">
        <w:rPr>
          <w:rFonts w:ascii="Times New Roman" w:eastAsia="Times New Roman" w:hAnsi="Times New Roman" w:cs="Times New Roman"/>
          <w:sz w:val="24"/>
          <w:szCs w:val="24"/>
          <w:lang w:eastAsia="ru-RU"/>
        </w:rPr>
        <w:t>41,5</w:t>
      </w:r>
      <w:r w:rsidR="00A84CD4" w:rsidRPr="005A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на вспомогательное производство </w:t>
      </w:r>
      <w:r w:rsidR="00984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84CD4" w:rsidRPr="005A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FDB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="00A84CD4" w:rsidRPr="005A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984FD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цеховые расходы – 3,7 млн. рублей</w:t>
      </w:r>
      <w:r w:rsidR="00022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CD4" w:rsidRPr="00FB41E7" w:rsidRDefault="00FB41E7" w:rsidP="00FB41E7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B41E7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976"/>
        <w:gridCol w:w="2268"/>
        <w:gridCol w:w="1984"/>
      </w:tblGrid>
      <w:tr w:rsidR="00416DB1" w:rsidRPr="00B903BD" w:rsidTr="00984FDB">
        <w:trPr>
          <w:trHeight w:val="433"/>
        </w:trPr>
        <w:tc>
          <w:tcPr>
            <w:tcW w:w="661" w:type="dxa"/>
            <w:vAlign w:val="center"/>
          </w:tcPr>
          <w:p w:rsidR="00416DB1" w:rsidRPr="00984FDB" w:rsidRDefault="00416DB1" w:rsidP="00984FDB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84FD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84FD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4976" w:type="dxa"/>
            <w:vAlign w:val="center"/>
          </w:tcPr>
          <w:p w:rsidR="00416DB1" w:rsidRPr="00984FDB" w:rsidRDefault="00416DB1" w:rsidP="00984FDB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Статьи затрат</w:t>
            </w:r>
          </w:p>
        </w:tc>
        <w:tc>
          <w:tcPr>
            <w:tcW w:w="2268" w:type="dxa"/>
            <w:vAlign w:val="center"/>
          </w:tcPr>
          <w:p w:rsidR="00416DB1" w:rsidRPr="00984FDB" w:rsidRDefault="00416DB1" w:rsidP="00984FDB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2011 год</w:t>
            </w:r>
          </w:p>
        </w:tc>
        <w:tc>
          <w:tcPr>
            <w:tcW w:w="1984" w:type="dxa"/>
            <w:vAlign w:val="center"/>
          </w:tcPr>
          <w:p w:rsidR="00416DB1" w:rsidRPr="00984FDB" w:rsidRDefault="00416DB1" w:rsidP="00984FDB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2012 год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0220B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976" w:type="dxa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Прямые затраты, млн. руб.</w:t>
            </w:r>
          </w:p>
        </w:tc>
        <w:tc>
          <w:tcPr>
            <w:tcW w:w="2268" w:type="dxa"/>
            <w:vAlign w:val="center"/>
          </w:tcPr>
          <w:p w:rsidR="00416DB1" w:rsidRPr="00176B1E" w:rsidRDefault="00176B1E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176B1E">
              <w:rPr>
                <w:rFonts w:ascii="Times New Roman" w:hAnsi="Times New Roman"/>
                <w:sz w:val="20"/>
              </w:rPr>
              <w:t>165,8</w:t>
            </w:r>
          </w:p>
        </w:tc>
        <w:tc>
          <w:tcPr>
            <w:tcW w:w="1984" w:type="dxa"/>
            <w:vAlign w:val="center"/>
          </w:tcPr>
          <w:p w:rsidR="00416DB1" w:rsidRPr="000220BF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984FDB">
              <w:rPr>
                <w:rFonts w:ascii="Times New Roman" w:hAnsi="Times New Roman"/>
                <w:sz w:val="20"/>
              </w:rPr>
              <w:t>172,8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76" w:type="dxa"/>
            <w:vAlign w:val="center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Амортизация</w:t>
            </w:r>
          </w:p>
        </w:tc>
        <w:tc>
          <w:tcPr>
            <w:tcW w:w="2268" w:type="dxa"/>
            <w:vAlign w:val="center"/>
          </w:tcPr>
          <w:p w:rsidR="00416DB1" w:rsidRPr="00176B1E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176B1E">
              <w:rPr>
                <w:rFonts w:ascii="Times New Roman" w:hAnsi="Times New Roman"/>
                <w:sz w:val="20"/>
              </w:rPr>
              <w:t>13,7</w:t>
            </w:r>
          </w:p>
        </w:tc>
        <w:tc>
          <w:tcPr>
            <w:tcW w:w="1984" w:type="dxa"/>
            <w:vAlign w:val="center"/>
          </w:tcPr>
          <w:p w:rsidR="00416DB1" w:rsidRPr="00A14DFD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16,3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76" w:type="dxa"/>
            <w:vAlign w:val="center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ГСМ (бензин, дизельное топливо)</w:t>
            </w:r>
          </w:p>
        </w:tc>
        <w:tc>
          <w:tcPr>
            <w:tcW w:w="2268" w:type="dxa"/>
            <w:vAlign w:val="center"/>
          </w:tcPr>
          <w:p w:rsidR="00416DB1" w:rsidRPr="00176B1E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176B1E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984" w:type="dxa"/>
            <w:vAlign w:val="center"/>
          </w:tcPr>
          <w:p w:rsidR="00416DB1" w:rsidRPr="000220BF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76" w:type="dxa"/>
            <w:vAlign w:val="center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Затраты на оплату труда</w:t>
            </w:r>
          </w:p>
        </w:tc>
        <w:tc>
          <w:tcPr>
            <w:tcW w:w="2268" w:type="dxa"/>
            <w:vAlign w:val="center"/>
          </w:tcPr>
          <w:p w:rsidR="00416DB1" w:rsidRPr="00176B1E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176B1E">
              <w:rPr>
                <w:rFonts w:ascii="Times New Roman" w:hAnsi="Times New Roman"/>
                <w:sz w:val="20"/>
              </w:rPr>
              <w:t>53,1</w:t>
            </w:r>
          </w:p>
        </w:tc>
        <w:tc>
          <w:tcPr>
            <w:tcW w:w="1984" w:type="dxa"/>
            <w:vAlign w:val="center"/>
          </w:tcPr>
          <w:p w:rsidR="00416DB1" w:rsidRPr="000220BF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76" w:type="dxa"/>
            <w:vAlign w:val="center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ЕСН</w:t>
            </w:r>
          </w:p>
        </w:tc>
        <w:tc>
          <w:tcPr>
            <w:tcW w:w="2268" w:type="dxa"/>
            <w:vAlign w:val="center"/>
          </w:tcPr>
          <w:p w:rsidR="00416DB1" w:rsidRPr="00176B1E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176B1E"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1984" w:type="dxa"/>
            <w:vAlign w:val="center"/>
          </w:tcPr>
          <w:p w:rsidR="00416DB1" w:rsidRPr="00A14DFD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76" w:type="dxa"/>
            <w:vAlign w:val="center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Ремонт и техническое обслуживание</w:t>
            </w:r>
          </w:p>
        </w:tc>
        <w:tc>
          <w:tcPr>
            <w:tcW w:w="2268" w:type="dxa"/>
            <w:vAlign w:val="center"/>
          </w:tcPr>
          <w:p w:rsidR="00416DB1" w:rsidRPr="00176B1E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176B1E"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1984" w:type="dxa"/>
            <w:vAlign w:val="center"/>
          </w:tcPr>
          <w:p w:rsidR="00416DB1" w:rsidRPr="000220BF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13,3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76" w:type="dxa"/>
            <w:vAlign w:val="center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2268" w:type="dxa"/>
            <w:vAlign w:val="center"/>
          </w:tcPr>
          <w:p w:rsidR="00416DB1" w:rsidRPr="00176B1E" w:rsidRDefault="00176B1E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176B1E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984" w:type="dxa"/>
            <w:vAlign w:val="center"/>
          </w:tcPr>
          <w:p w:rsidR="00416DB1" w:rsidRPr="00647423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647423"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76" w:type="dxa"/>
            <w:vAlign w:val="center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Отопление собственные нужды</w:t>
            </w:r>
          </w:p>
        </w:tc>
        <w:tc>
          <w:tcPr>
            <w:tcW w:w="2268" w:type="dxa"/>
            <w:vAlign w:val="center"/>
          </w:tcPr>
          <w:p w:rsidR="00416DB1" w:rsidRPr="00176B1E" w:rsidRDefault="00176B1E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176B1E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984" w:type="dxa"/>
            <w:vAlign w:val="center"/>
          </w:tcPr>
          <w:p w:rsidR="00416DB1" w:rsidRPr="00647423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647423">
              <w:rPr>
                <w:rFonts w:ascii="Times New Roman" w:hAnsi="Times New Roman"/>
                <w:sz w:val="20"/>
              </w:rPr>
              <w:t>5,4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76" w:type="dxa"/>
            <w:vAlign w:val="center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2268" w:type="dxa"/>
            <w:vAlign w:val="center"/>
          </w:tcPr>
          <w:p w:rsidR="00416DB1" w:rsidRPr="00176B1E" w:rsidRDefault="00176B1E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176B1E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1984" w:type="dxa"/>
            <w:vAlign w:val="center"/>
          </w:tcPr>
          <w:p w:rsidR="00416DB1" w:rsidRPr="00647423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76" w:type="dxa"/>
            <w:vAlign w:val="center"/>
          </w:tcPr>
          <w:p w:rsidR="00416DB1" w:rsidRPr="00984FDB" w:rsidRDefault="00416DB1" w:rsidP="00647423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Топливо</w:t>
            </w:r>
          </w:p>
        </w:tc>
        <w:tc>
          <w:tcPr>
            <w:tcW w:w="2268" w:type="dxa"/>
            <w:vAlign w:val="center"/>
          </w:tcPr>
          <w:p w:rsidR="00416DB1" w:rsidRPr="00176B1E" w:rsidRDefault="00176B1E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176B1E"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1984" w:type="dxa"/>
            <w:vAlign w:val="center"/>
          </w:tcPr>
          <w:p w:rsidR="00416DB1" w:rsidRPr="000220BF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52,4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76" w:type="dxa"/>
            <w:vAlign w:val="center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Прочие прямые расходы</w:t>
            </w:r>
          </w:p>
        </w:tc>
        <w:tc>
          <w:tcPr>
            <w:tcW w:w="2268" w:type="dxa"/>
            <w:vAlign w:val="center"/>
          </w:tcPr>
          <w:p w:rsidR="00416DB1" w:rsidRPr="00647423" w:rsidRDefault="00176B1E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984" w:type="dxa"/>
            <w:vAlign w:val="center"/>
          </w:tcPr>
          <w:p w:rsidR="00416DB1" w:rsidRPr="00647423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0220B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976" w:type="dxa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Вспомогательное производство, млн. руб.</w:t>
            </w:r>
          </w:p>
        </w:tc>
        <w:tc>
          <w:tcPr>
            <w:tcW w:w="2268" w:type="dxa"/>
            <w:vAlign w:val="center"/>
          </w:tcPr>
          <w:p w:rsidR="00416DB1" w:rsidRPr="00647423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1984" w:type="dxa"/>
            <w:vAlign w:val="center"/>
          </w:tcPr>
          <w:p w:rsidR="00416DB1" w:rsidRPr="00647423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0220BF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976" w:type="dxa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Общехозяйственные расходы, млн. руб.</w:t>
            </w:r>
          </w:p>
        </w:tc>
        <w:tc>
          <w:tcPr>
            <w:tcW w:w="2268" w:type="dxa"/>
            <w:vAlign w:val="center"/>
          </w:tcPr>
          <w:p w:rsidR="00416DB1" w:rsidRPr="00647423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984" w:type="dxa"/>
            <w:vAlign w:val="center"/>
          </w:tcPr>
          <w:p w:rsidR="00416DB1" w:rsidRPr="00647423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41,5</w:t>
            </w:r>
          </w:p>
        </w:tc>
      </w:tr>
      <w:tr w:rsidR="00416DB1" w:rsidRPr="00B903BD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976" w:type="dxa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984FDB">
              <w:rPr>
                <w:rFonts w:ascii="Times New Roman" w:hAnsi="Times New Roman"/>
                <w:sz w:val="20"/>
              </w:rPr>
              <w:t>Цеховые расходы, млн. руб.</w:t>
            </w:r>
          </w:p>
        </w:tc>
        <w:tc>
          <w:tcPr>
            <w:tcW w:w="2268" w:type="dxa"/>
            <w:vAlign w:val="center"/>
          </w:tcPr>
          <w:p w:rsidR="00416DB1" w:rsidRPr="00647423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984" w:type="dxa"/>
            <w:vAlign w:val="center"/>
          </w:tcPr>
          <w:p w:rsidR="00416DB1" w:rsidRPr="00647423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</w:tr>
      <w:tr w:rsidR="00416DB1" w:rsidRPr="00011C07" w:rsidTr="00984FDB">
        <w:tc>
          <w:tcPr>
            <w:tcW w:w="661" w:type="dxa"/>
          </w:tcPr>
          <w:p w:rsidR="00416DB1" w:rsidRPr="000220BF" w:rsidRDefault="00416DB1" w:rsidP="000220BF">
            <w:pPr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76" w:type="dxa"/>
          </w:tcPr>
          <w:p w:rsidR="00416DB1" w:rsidRPr="00984FDB" w:rsidRDefault="00416DB1" w:rsidP="000220BF">
            <w:pPr>
              <w:spacing w:line="264" w:lineRule="auto"/>
              <w:rPr>
                <w:rFonts w:ascii="Times New Roman" w:hAnsi="Times New Roman"/>
                <w:b/>
                <w:sz w:val="20"/>
              </w:rPr>
            </w:pPr>
            <w:r w:rsidRPr="00984FDB">
              <w:rPr>
                <w:rFonts w:ascii="Times New Roman" w:hAnsi="Times New Roman"/>
                <w:b/>
                <w:sz w:val="20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416DB1" w:rsidRPr="00984FDB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84FDB">
              <w:rPr>
                <w:rFonts w:ascii="Times New Roman" w:hAnsi="Times New Roman"/>
                <w:b/>
                <w:sz w:val="20"/>
              </w:rPr>
              <w:t>227,9</w:t>
            </w:r>
          </w:p>
        </w:tc>
        <w:tc>
          <w:tcPr>
            <w:tcW w:w="1984" w:type="dxa"/>
            <w:vAlign w:val="center"/>
          </w:tcPr>
          <w:p w:rsidR="00416DB1" w:rsidRPr="00984FDB" w:rsidRDefault="00416DB1" w:rsidP="00984FD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984FDB">
              <w:rPr>
                <w:rFonts w:ascii="Times New Roman" w:hAnsi="Times New Roman"/>
                <w:b/>
                <w:sz w:val="20"/>
              </w:rPr>
              <w:t>219,5</w:t>
            </w:r>
          </w:p>
        </w:tc>
      </w:tr>
    </w:tbl>
    <w:p w:rsidR="001E01C5" w:rsidRDefault="001E01C5" w:rsidP="00964FA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124CB" w:rsidRDefault="00675F09" w:rsidP="00D06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4CB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 </w:t>
      </w:r>
      <w:r w:rsidR="00B124CB" w:rsidRPr="00B124CB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оплаты труда за 2012 работников составил </w:t>
      </w:r>
      <w:r w:rsidRPr="00B124CB">
        <w:rPr>
          <w:rFonts w:ascii="Times New Roman" w:eastAsia="Times New Roman" w:hAnsi="Times New Roman"/>
          <w:sz w:val="24"/>
          <w:szCs w:val="24"/>
          <w:lang w:eastAsia="ru-RU"/>
        </w:rPr>
        <w:t xml:space="preserve">52,0 млн.  рублей, за аналогичный период прошлого года </w:t>
      </w:r>
      <w:r w:rsidR="00B124CB" w:rsidRPr="00B124CB">
        <w:rPr>
          <w:rFonts w:ascii="Times New Roman" w:eastAsia="Times New Roman" w:hAnsi="Times New Roman"/>
          <w:sz w:val="24"/>
          <w:szCs w:val="24"/>
          <w:lang w:eastAsia="ru-RU"/>
        </w:rPr>
        <w:t>оплата труда</w:t>
      </w:r>
      <w:r w:rsidRPr="00B124C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составляла 53,1млн. рублей, что на 1,1 млн. рублей </w:t>
      </w:r>
      <w:r w:rsidR="00B124CB">
        <w:rPr>
          <w:rFonts w:ascii="Times New Roman" w:eastAsia="Times New Roman" w:hAnsi="Times New Roman"/>
          <w:sz w:val="24"/>
          <w:szCs w:val="24"/>
          <w:lang w:eastAsia="ru-RU"/>
        </w:rPr>
        <w:t>(уменьшились расходы на оплате труда на 2,1%).</w:t>
      </w:r>
    </w:p>
    <w:p w:rsidR="00FB41E7" w:rsidRPr="00FB41E7" w:rsidRDefault="00FB41E7" w:rsidP="00D06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4229A" w:rsidRDefault="00C4229A" w:rsidP="00D06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5F47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Финансовые взаимоотношения</w:t>
      </w:r>
      <w:r w:rsidR="00215F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2012 году.</w:t>
      </w:r>
    </w:p>
    <w:p w:rsidR="00C4229A" w:rsidRDefault="00C4229A" w:rsidP="00D06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01.01. 2013 года дебиторская задолженность предприятия </w:t>
      </w:r>
      <w:r w:rsidR="00F12C07"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составила </w:t>
      </w:r>
      <w:r w:rsidR="007A6EEE">
        <w:rPr>
          <w:rFonts w:ascii="Times New Roman" w:eastAsia="Times New Roman" w:hAnsi="Times New Roman"/>
          <w:sz w:val="24"/>
          <w:szCs w:val="24"/>
          <w:lang w:eastAsia="ru-RU"/>
        </w:rPr>
        <w:t>38,9</w:t>
      </w:r>
      <w:r w:rsidR="00F12C07"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 </w:t>
      </w:r>
      <w:r w:rsidR="007A6EEE">
        <w:rPr>
          <w:rFonts w:ascii="Times New Roman" w:eastAsia="Times New Roman" w:hAnsi="Times New Roman"/>
          <w:sz w:val="24"/>
          <w:szCs w:val="24"/>
          <w:lang w:eastAsia="ru-RU"/>
        </w:rPr>
        <w:t>сократившись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A6EE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12C07" w:rsidRPr="007A6EEE">
        <w:rPr>
          <w:rFonts w:ascii="Times New Roman" w:eastAsia="Times New Roman" w:hAnsi="Times New Roman"/>
          <w:sz w:val="24"/>
          <w:szCs w:val="24"/>
          <w:lang w:eastAsia="ru-RU"/>
        </w:rPr>
        <w:t>3,4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F12C07" w:rsidRPr="007A6EEE">
        <w:rPr>
          <w:rFonts w:ascii="Times New Roman" w:eastAsia="Times New Roman" w:hAnsi="Times New Roman"/>
          <w:sz w:val="24"/>
          <w:szCs w:val="24"/>
          <w:lang w:eastAsia="ru-RU"/>
        </w:rPr>
        <w:t>в сравнении с аналогичным периодом 2011 года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является </w:t>
      </w:r>
      <w:r w:rsidR="007A6EEE">
        <w:rPr>
          <w:rFonts w:ascii="Times New Roman" w:eastAsia="Times New Roman" w:hAnsi="Times New Roman"/>
          <w:sz w:val="24"/>
          <w:szCs w:val="24"/>
          <w:lang w:eastAsia="ru-RU"/>
        </w:rPr>
        <w:t>положительным моментом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свидетельствует о </w:t>
      </w:r>
      <w:r w:rsidR="007A6EEE">
        <w:rPr>
          <w:rFonts w:ascii="Times New Roman" w:eastAsia="Times New Roman" w:hAnsi="Times New Roman"/>
          <w:sz w:val="24"/>
          <w:szCs w:val="24"/>
          <w:lang w:eastAsia="ru-RU"/>
        </w:rPr>
        <w:t>повышении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активизации работы с потребителями услуг по взиманию платы за ЖКУ.</w:t>
      </w:r>
      <w:r w:rsidRPr="00215F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229A" w:rsidRPr="00215F47" w:rsidRDefault="00AA5C9F" w:rsidP="00215F47">
      <w:pPr>
        <w:spacing w:line="264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(</w:t>
      </w:r>
      <w:r w:rsidR="00C4229A" w:rsidRPr="00215F47">
        <w:rPr>
          <w:rFonts w:ascii="Times New Roman" w:hAnsi="Times New Roman"/>
          <w:sz w:val="20"/>
        </w:rPr>
        <w:t>млн. рублей)</w:t>
      </w:r>
    </w:p>
    <w:tbl>
      <w:tblPr>
        <w:tblW w:w="944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2"/>
        <w:gridCol w:w="2410"/>
        <w:gridCol w:w="1985"/>
      </w:tblGrid>
      <w:tr w:rsidR="00A03B2D" w:rsidRPr="00215F47" w:rsidTr="007B4ACC">
        <w:trPr>
          <w:trHeight w:val="798"/>
        </w:trPr>
        <w:tc>
          <w:tcPr>
            <w:tcW w:w="5052" w:type="dxa"/>
            <w:shd w:val="clear" w:color="auto" w:fill="auto"/>
            <w:vAlign w:val="center"/>
          </w:tcPr>
          <w:p w:rsidR="00A03B2D" w:rsidRPr="00215F47" w:rsidRDefault="00A03B2D" w:rsidP="00215F47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215F47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A03B2D" w:rsidRPr="007B4ACC" w:rsidRDefault="00A03B2D" w:rsidP="00215F47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7B4ACC">
              <w:rPr>
                <w:rFonts w:ascii="Times New Roman" w:hAnsi="Times New Roman"/>
                <w:sz w:val="20"/>
              </w:rPr>
              <w:t>на 01.01.2012г.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B2D" w:rsidRPr="007B4ACC" w:rsidRDefault="00A03B2D" w:rsidP="00215F47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7B4ACC">
              <w:rPr>
                <w:rFonts w:ascii="Times New Roman" w:hAnsi="Times New Roman"/>
                <w:sz w:val="20"/>
              </w:rPr>
              <w:t>на 01.01.2013г.</w:t>
            </w:r>
          </w:p>
        </w:tc>
      </w:tr>
      <w:tr w:rsidR="00A03B2D" w:rsidRPr="007A6EEE" w:rsidTr="007B4ACC">
        <w:tc>
          <w:tcPr>
            <w:tcW w:w="5052" w:type="dxa"/>
            <w:shd w:val="clear" w:color="auto" w:fill="auto"/>
          </w:tcPr>
          <w:p w:rsidR="00A03B2D" w:rsidRPr="00215F47" w:rsidRDefault="00A03B2D" w:rsidP="00215F47">
            <w:pPr>
              <w:spacing w:line="264" w:lineRule="auto"/>
              <w:rPr>
                <w:rFonts w:ascii="Times New Roman" w:hAnsi="Times New Roman"/>
                <w:sz w:val="20"/>
              </w:rPr>
            </w:pPr>
            <w:r w:rsidRPr="00215F47">
              <w:rPr>
                <w:rFonts w:ascii="Times New Roman" w:hAnsi="Times New Roman"/>
                <w:sz w:val="20"/>
              </w:rPr>
              <w:t>Дебиторская задолженность</w:t>
            </w:r>
          </w:p>
        </w:tc>
        <w:tc>
          <w:tcPr>
            <w:tcW w:w="2410" w:type="dxa"/>
          </w:tcPr>
          <w:p w:rsidR="00A03B2D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44,9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B2D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38,9</w:t>
            </w:r>
          </w:p>
        </w:tc>
      </w:tr>
    </w:tbl>
    <w:p w:rsidR="00043407" w:rsidRPr="00215F47" w:rsidRDefault="00043407" w:rsidP="00215F47">
      <w:pPr>
        <w:spacing w:line="264" w:lineRule="auto"/>
        <w:rPr>
          <w:rFonts w:ascii="Times New Roman" w:hAnsi="Times New Roman"/>
          <w:sz w:val="20"/>
        </w:rPr>
      </w:pPr>
    </w:p>
    <w:p w:rsidR="00043407" w:rsidRPr="007A6EEE" w:rsidRDefault="00705322" w:rsidP="00D06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>За 2012 год</w:t>
      </w:r>
      <w:r w:rsidR="00043407"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потребителями коммунальных услуг погашена дебиторская задолженность в размере 154</w:t>
      </w:r>
      <w:r w:rsidR="00A03B2D" w:rsidRPr="007A6EEE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043407"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млн., в том числе 18</w:t>
      </w:r>
      <w:r w:rsidR="00A03B2D" w:rsidRPr="007A6EEE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="009A5996"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 </w:t>
      </w:r>
      <w:r w:rsidR="00043407"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задолженность прошлых лет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(указать какие года)</w:t>
      </w:r>
      <w:r w:rsidR="00043407" w:rsidRPr="007A6E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407" w:rsidRPr="007A6EEE" w:rsidRDefault="009A5996" w:rsidP="00D06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05322"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2012 год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05322"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проведена работа</w:t>
      </w:r>
      <w:r w:rsidR="00043407" w:rsidRPr="007A6EEE">
        <w:rPr>
          <w:rFonts w:ascii="Times New Roman" w:eastAsia="Times New Roman" w:hAnsi="Times New Roman"/>
          <w:sz w:val="24"/>
          <w:szCs w:val="24"/>
          <w:lang w:eastAsia="ru-RU"/>
        </w:rPr>
        <w:t>, направленн</w:t>
      </w:r>
      <w:r w:rsidR="00705322" w:rsidRPr="007A6EE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043407"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снижение дебиторской задолженности</w:t>
      </w:r>
      <w:r w:rsidR="00705322" w:rsidRPr="007A6EE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43407" w:rsidRPr="007A6EEE" w:rsidRDefault="00043407" w:rsidP="00D06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>претензионно</w:t>
      </w:r>
      <w:proofErr w:type="spellEnd"/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-исковая работа. </w:t>
      </w:r>
      <w:r w:rsidR="00705322" w:rsidRPr="007A6EE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>одано 35 исковых заявлений на общую сумму 11</w:t>
      </w:r>
      <w:r w:rsidR="00A03B2D" w:rsidRPr="007A6EEE">
        <w:rPr>
          <w:rFonts w:ascii="Times New Roman" w:eastAsia="Times New Roman" w:hAnsi="Times New Roman"/>
          <w:sz w:val="24"/>
          <w:szCs w:val="24"/>
          <w:lang w:eastAsia="ru-RU"/>
        </w:rPr>
        <w:t>,9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рублей, 32 исковых заявления рассмотрены судом на сумму 8</w:t>
      </w:r>
      <w:r w:rsidR="00A03B2D" w:rsidRPr="007A6EEE">
        <w:rPr>
          <w:rFonts w:ascii="Times New Roman" w:eastAsia="Times New Roman" w:hAnsi="Times New Roman"/>
          <w:sz w:val="24"/>
          <w:szCs w:val="24"/>
          <w:lang w:eastAsia="ru-RU"/>
        </w:rPr>
        <w:t>,7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рублей. </w:t>
      </w:r>
      <w:r w:rsidR="00705322" w:rsidRPr="007A6E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>В том числе: по населению подано и рассмотрено 27 исковых заявлений на общую сумму 1</w:t>
      </w:r>
      <w:r w:rsidR="00A03B2D" w:rsidRPr="007A6EEE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</w:t>
      </w:r>
      <w:r w:rsidR="00A03B2D"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>рублей, по юридическим лицам и индивидуальным предпринимателям 5 исков на сумму 6</w:t>
      </w:r>
      <w:r w:rsidR="00A03B2D" w:rsidRPr="007A6EEE">
        <w:rPr>
          <w:rFonts w:ascii="Times New Roman" w:eastAsia="Times New Roman" w:hAnsi="Times New Roman"/>
          <w:sz w:val="24"/>
          <w:szCs w:val="24"/>
          <w:lang w:eastAsia="ru-RU"/>
        </w:rPr>
        <w:t>,9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рублей.</w:t>
      </w:r>
    </w:p>
    <w:p w:rsidR="00043407" w:rsidRPr="007A6EEE" w:rsidRDefault="00043407" w:rsidP="00D06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>- оформлены 13 договоров реструктуризации (рассрочки) по гашению дебиторской задолженности  на сумму 613 тысяч рублей</w:t>
      </w:r>
      <w:r w:rsidR="00705322" w:rsidRPr="007A6EE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3407" w:rsidRPr="007A6EEE" w:rsidRDefault="00043407" w:rsidP="00D06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>- сверка расчетов с покупателями, для подтверждения существующей дебиторской задолженности. Часть задолженности в сумме 925 тысяч рублей, в связи с истекшим сроком исковой давности</w:t>
      </w:r>
      <w:r w:rsidR="00705322"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списанию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996" w:rsidRPr="00215F47" w:rsidRDefault="009A5996" w:rsidP="009A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01.01.2013 года кредиторская задолженность предприятия возросла до </w:t>
      </w:r>
      <w:r w:rsidR="007A6EEE" w:rsidRPr="007A6EEE">
        <w:rPr>
          <w:rFonts w:ascii="Times New Roman" w:eastAsia="Times New Roman" w:hAnsi="Times New Roman"/>
          <w:sz w:val="24"/>
          <w:szCs w:val="24"/>
          <w:lang w:eastAsia="ru-RU"/>
        </w:rPr>
        <w:t>347,6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 или на </w:t>
      </w:r>
      <w:r w:rsidR="007A6EEE" w:rsidRPr="007A6EEE">
        <w:rPr>
          <w:rFonts w:ascii="Times New Roman" w:eastAsia="Times New Roman" w:hAnsi="Times New Roman"/>
          <w:sz w:val="24"/>
          <w:szCs w:val="24"/>
          <w:lang w:eastAsia="ru-RU"/>
        </w:rPr>
        <w:t>14,2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 xml:space="preserve">%, что объясняется, увеличением задолженности перед </w:t>
      </w:r>
      <w:r w:rsidR="007A6EEE" w:rsidRPr="007A6EEE">
        <w:rPr>
          <w:rFonts w:ascii="Times New Roman" w:eastAsia="Times New Roman" w:hAnsi="Times New Roman"/>
          <w:sz w:val="24"/>
          <w:szCs w:val="24"/>
          <w:lang w:eastAsia="ru-RU"/>
        </w:rPr>
        <w:t>поставщиками и подрядчиками</w:t>
      </w:r>
      <w:r w:rsidRPr="007A6EE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5996" w:rsidRPr="00215F47" w:rsidRDefault="009A5996" w:rsidP="009A5996">
      <w:pPr>
        <w:spacing w:line="264" w:lineRule="auto"/>
        <w:jc w:val="right"/>
        <w:rPr>
          <w:rFonts w:ascii="Times New Roman" w:hAnsi="Times New Roman"/>
          <w:sz w:val="20"/>
        </w:rPr>
      </w:pPr>
      <w:r w:rsidRPr="00215F47">
        <w:rPr>
          <w:rFonts w:ascii="Times New Roman" w:hAnsi="Times New Roman"/>
          <w:sz w:val="20"/>
        </w:rPr>
        <w:t>(млн. рублей)</w:t>
      </w:r>
    </w:p>
    <w:tbl>
      <w:tblPr>
        <w:tblW w:w="0" w:type="auto"/>
        <w:jc w:val="center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1610"/>
        <w:gridCol w:w="1664"/>
        <w:gridCol w:w="8"/>
        <w:gridCol w:w="1099"/>
      </w:tblGrid>
      <w:tr w:rsidR="009A5996" w:rsidRPr="007A6EEE" w:rsidTr="00487D87">
        <w:trPr>
          <w:trHeight w:val="393"/>
          <w:jc w:val="center"/>
        </w:trPr>
        <w:tc>
          <w:tcPr>
            <w:tcW w:w="5121" w:type="dxa"/>
            <w:shd w:val="clear" w:color="auto" w:fill="auto"/>
            <w:vAlign w:val="center"/>
          </w:tcPr>
          <w:p w:rsidR="009A5996" w:rsidRPr="00AA5C9F" w:rsidRDefault="009A5996" w:rsidP="00AA5C9F">
            <w:pPr>
              <w:pStyle w:val="a6"/>
              <w:rPr>
                <w:rFonts w:ascii="Times New Roman" w:hAnsi="Times New Roman"/>
              </w:rPr>
            </w:pPr>
            <w:r w:rsidRPr="00AA5C9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5996" w:rsidRPr="007A6EEE" w:rsidRDefault="009A5996" w:rsidP="00AA5C9F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на 01.01.2012г.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A5996" w:rsidRPr="007A6EEE" w:rsidRDefault="009A5996" w:rsidP="00AA5C9F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на 01.01.2013г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9A5996" w:rsidRPr="007A6EEE" w:rsidRDefault="009A5996" w:rsidP="00AA5C9F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%</w:t>
            </w:r>
          </w:p>
        </w:tc>
      </w:tr>
      <w:tr w:rsidR="009A5996" w:rsidRPr="007A6EEE" w:rsidTr="00487D87">
        <w:trPr>
          <w:jc w:val="center"/>
        </w:trPr>
        <w:tc>
          <w:tcPr>
            <w:tcW w:w="5121" w:type="dxa"/>
            <w:shd w:val="clear" w:color="auto" w:fill="auto"/>
            <w:vAlign w:val="center"/>
          </w:tcPr>
          <w:p w:rsidR="009A5996" w:rsidRPr="00AA5C9F" w:rsidRDefault="009A5996" w:rsidP="00AA5C9F">
            <w:pPr>
              <w:pStyle w:val="a6"/>
              <w:rPr>
                <w:rFonts w:ascii="Times New Roman" w:hAnsi="Times New Roman"/>
              </w:rPr>
            </w:pPr>
            <w:r w:rsidRPr="00AA5C9F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304,4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347,6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114,2</w:t>
            </w:r>
          </w:p>
        </w:tc>
      </w:tr>
      <w:tr w:rsidR="009A5996" w:rsidRPr="007A6EEE" w:rsidTr="00487D87">
        <w:trPr>
          <w:jc w:val="center"/>
        </w:trPr>
        <w:tc>
          <w:tcPr>
            <w:tcW w:w="5121" w:type="dxa"/>
            <w:shd w:val="clear" w:color="auto" w:fill="auto"/>
            <w:vAlign w:val="center"/>
          </w:tcPr>
          <w:p w:rsidR="009A5996" w:rsidRPr="00AA5C9F" w:rsidRDefault="009A5996" w:rsidP="00AA5C9F">
            <w:pPr>
              <w:pStyle w:val="a6"/>
              <w:rPr>
                <w:rFonts w:ascii="Times New Roman" w:hAnsi="Times New Roman"/>
              </w:rPr>
            </w:pPr>
            <w:r w:rsidRPr="00AA5C9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5996" w:rsidRPr="007A6EEE" w:rsidRDefault="009A5996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9A5996" w:rsidRPr="007A6EEE" w:rsidRDefault="009A5996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A5996" w:rsidRPr="007A6EEE" w:rsidRDefault="009A5996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A5996" w:rsidRPr="007A6EEE" w:rsidTr="00AA5C9F">
        <w:trPr>
          <w:trHeight w:val="530"/>
          <w:jc w:val="center"/>
        </w:trPr>
        <w:tc>
          <w:tcPr>
            <w:tcW w:w="5121" w:type="dxa"/>
            <w:shd w:val="clear" w:color="auto" w:fill="auto"/>
            <w:vAlign w:val="center"/>
          </w:tcPr>
          <w:p w:rsidR="009A5996" w:rsidRPr="00AA5C9F" w:rsidRDefault="009A5996" w:rsidP="00AA5C9F">
            <w:pPr>
              <w:pStyle w:val="a6"/>
              <w:rPr>
                <w:rFonts w:ascii="Times New Roman" w:hAnsi="Times New Roman"/>
              </w:rPr>
            </w:pPr>
            <w:r w:rsidRPr="00AA5C9F">
              <w:rPr>
                <w:rFonts w:ascii="Times New Roman" w:hAnsi="Times New Roman"/>
              </w:rPr>
              <w:t>- перед поставщиками и подрядчиками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224,9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280,2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124,6</w:t>
            </w:r>
          </w:p>
        </w:tc>
      </w:tr>
      <w:tr w:rsidR="009A5996" w:rsidRPr="007A6EEE" w:rsidTr="00487D87">
        <w:trPr>
          <w:trHeight w:val="221"/>
          <w:jc w:val="center"/>
        </w:trPr>
        <w:tc>
          <w:tcPr>
            <w:tcW w:w="5121" w:type="dxa"/>
            <w:shd w:val="clear" w:color="auto" w:fill="auto"/>
            <w:vAlign w:val="center"/>
          </w:tcPr>
          <w:p w:rsidR="009A5996" w:rsidRPr="00AA5C9F" w:rsidRDefault="009A5996" w:rsidP="00AA5C9F">
            <w:pPr>
              <w:pStyle w:val="a6"/>
              <w:rPr>
                <w:rFonts w:ascii="Times New Roman" w:hAnsi="Times New Roman"/>
              </w:rPr>
            </w:pPr>
            <w:r w:rsidRPr="00AA5C9F">
              <w:rPr>
                <w:rFonts w:ascii="Times New Roman" w:hAnsi="Times New Roman"/>
              </w:rPr>
              <w:t>- перед персоналом организации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-0,4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A5996" w:rsidRPr="007A6EEE" w:rsidTr="00487D87">
        <w:trPr>
          <w:jc w:val="center"/>
        </w:trPr>
        <w:tc>
          <w:tcPr>
            <w:tcW w:w="5121" w:type="dxa"/>
            <w:shd w:val="clear" w:color="auto" w:fill="auto"/>
            <w:vAlign w:val="center"/>
          </w:tcPr>
          <w:p w:rsidR="009A5996" w:rsidRPr="00AA5C9F" w:rsidRDefault="009A5996" w:rsidP="00AA5C9F">
            <w:pPr>
              <w:pStyle w:val="a6"/>
              <w:rPr>
                <w:rFonts w:ascii="Times New Roman" w:hAnsi="Times New Roman"/>
              </w:rPr>
            </w:pPr>
            <w:r w:rsidRPr="00AA5C9F">
              <w:rPr>
                <w:rFonts w:ascii="Times New Roman" w:hAnsi="Times New Roman"/>
              </w:rPr>
              <w:t>- перед гос. внебюджетными фондами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9A5996" w:rsidRPr="007A6EEE" w:rsidRDefault="009A5996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33,5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92,0</w:t>
            </w:r>
          </w:p>
        </w:tc>
      </w:tr>
      <w:tr w:rsidR="009A5996" w:rsidRPr="007A6EEE" w:rsidTr="00487D87">
        <w:trPr>
          <w:jc w:val="center"/>
        </w:trPr>
        <w:tc>
          <w:tcPr>
            <w:tcW w:w="5121" w:type="dxa"/>
            <w:shd w:val="clear" w:color="auto" w:fill="auto"/>
            <w:vAlign w:val="center"/>
          </w:tcPr>
          <w:p w:rsidR="009A5996" w:rsidRPr="00AA5C9F" w:rsidRDefault="009A5996" w:rsidP="00AA5C9F">
            <w:pPr>
              <w:pStyle w:val="a6"/>
              <w:rPr>
                <w:rFonts w:ascii="Times New Roman" w:hAnsi="Times New Roman"/>
              </w:rPr>
            </w:pPr>
            <w:r w:rsidRPr="00AA5C9F">
              <w:rPr>
                <w:rFonts w:ascii="Times New Roman" w:hAnsi="Times New Roman"/>
              </w:rPr>
              <w:t>- перед бюджетом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42,5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21,1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49,6</w:t>
            </w:r>
          </w:p>
        </w:tc>
      </w:tr>
      <w:tr w:rsidR="009A5996" w:rsidRPr="007A6EEE" w:rsidTr="00487D87">
        <w:trPr>
          <w:jc w:val="center"/>
        </w:trPr>
        <w:tc>
          <w:tcPr>
            <w:tcW w:w="5121" w:type="dxa"/>
            <w:shd w:val="clear" w:color="auto" w:fill="auto"/>
            <w:vAlign w:val="center"/>
          </w:tcPr>
          <w:p w:rsidR="009A5996" w:rsidRPr="00AA5C9F" w:rsidRDefault="009A5996" w:rsidP="00AA5C9F">
            <w:pPr>
              <w:pStyle w:val="a6"/>
              <w:rPr>
                <w:rFonts w:ascii="Times New Roman" w:hAnsi="Times New Roman"/>
              </w:rPr>
            </w:pPr>
            <w:r w:rsidRPr="00AA5C9F">
              <w:rPr>
                <w:rFonts w:ascii="Times New Roman" w:hAnsi="Times New Roman"/>
              </w:rPr>
              <w:t>- перед прочими кредиторами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11,8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A5996" w:rsidRPr="007A6EEE" w:rsidRDefault="007A6EEE" w:rsidP="007A6EEE">
            <w:pPr>
              <w:spacing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7A6EEE">
              <w:rPr>
                <w:rFonts w:ascii="Times New Roman" w:hAnsi="Times New Roman"/>
                <w:sz w:val="20"/>
              </w:rPr>
              <w:t>118,0</w:t>
            </w:r>
          </w:p>
        </w:tc>
      </w:tr>
    </w:tbl>
    <w:p w:rsidR="009A5996" w:rsidRPr="007A6EEE" w:rsidRDefault="009A5996" w:rsidP="00D06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21B" w:rsidRPr="004C5614" w:rsidRDefault="00043407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Наибольшую </w:t>
      </w:r>
      <w:r w:rsidR="00AB521B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долю 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задолженност</w:t>
      </w:r>
      <w:r w:rsidR="00AB521B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и (81,0%) от кредиторской задолженности предприятия 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AB521B" w:rsidRPr="004C5614">
        <w:rPr>
          <w:rFonts w:ascii="Times New Roman" w:eastAsia="Times New Roman" w:hAnsi="Times New Roman"/>
          <w:sz w:val="24"/>
          <w:szCs w:val="24"/>
          <w:lang w:eastAsia="ru-RU"/>
        </w:rPr>
        <w:t>задолженность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агентским договорам (товарный кредит за уголь) </w:t>
      </w:r>
      <w:r w:rsidR="00AB521B" w:rsidRPr="004C56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размере 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270</w:t>
      </w:r>
      <w:r w:rsidR="00215F47" w:rsidRPr="004C5614">
        <w:rPr>
          <w:rFonts w:ascii="Times New Roman" w:eastAsia="Times New Roman" w:hAnsi="Times New Roman"/>
          <w:sz w:val="24"/>
          <w:szCs w:val="24"/>
          <w:lang w:eastAsia="ru-RU"/>
        </w:rPr>
        <w:t>,2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рублей. В 2012 году была произведена поставка угля 59</w:t>
      </w:r>
      <w:r w:rsidR="00215F47" w:rsidRPr="004C5614"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рублей. </w:t>
      </w:r>
      <w:r w:rsidR="00AB521B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 уплачено 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товарного кредита </w:t>
      </w:r>
      <w:r w:rsidR="00AB521B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уголь 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в размере 250 тысяч рублей.</w:t>
      </w:r>
      <w:r w:rsidR="00AB521B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3407" w:rsidRPr="004C5614" w:rsidRDefault="00043407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Наличие просроченной кредиторской задолженности по налогам и страховым взносам, накопленной с 2008 года, отрицательно сказывается на финансовом состоянии МП «ЖЭК-3». Несвоевременное погашение налоговых платежей и страховых взносов повлекло за собой применение контролирующими органами в отношении предприятия штрафных санкций и доначисление пеней в существенных размерах.</w:t>
      </w:r>
    </w:p>
    <w:p w:rsidR="00043407" w:rsidRPr="004C5614" w:rsidRDefault="005555C9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году 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>перечислен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размере 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="0060780B" w:rsidRPr="004C5614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 (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в том числе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>прошл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года -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62</w:t>
      </w:r>
      <w:r w:rsidR="00215F47" w:rsidRPr="004C5614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) на:</w:t>
      </w:r>
    </w:p>
    <w:p w:rsidR="00043407" w:rsidRPr="004C5614" w:rsidRDefault="00215F47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F6"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 w:rsidR="00043407" w:rsidRPr="008038F6">
        <w:rPr>
          <w:rFonts w:ascii="Times New Roman" w:eastAsia="Times New Roman" w:hAnsi="Times New Roman"/>
          <w:sz w:val="24"/>
          <w:szCs w:val="24"/>
          <w:lang w:eastAsia="ru-RU"/>
        </w:rPr>
        <w:t>едоимка – 69</w:t>
      </w:r>
      <w:r w:rsidRPr="008038F6">
        <w:rPr>
          <w:rFonts w:ascii="Times New Roman" w:eastAsia="Times New Roman" w:hAnsi="Times New Roman"/>
          <w:sz w:val="24"/>
          <w:szCs w:val="24"/>
          <w:lang w:eastAsia="ru-RU"/>
        </w:rPr>
        <w:t xml:space="preserve">,1 </w:t>
      </w:r>
      <w:r w:rsidR="00043407" w:rsidRPr="008038F6">
        <w:rPr>
          <w:rFonts w:ascii="Times New Roman" w:eastAsia="Times New Roman" w:hAnsi="Times New Roman"/>
          <w:sz w:val="24"/>
          <w:szCs w:val="24"/>
          <w:lang w:eastAsia="ru-RU"/>
        </w:rPr>
        <w:t>млн. рублей;</w:t>
      </w:r>
    </w:p>
    <w:p w:rsidR="00043407" w:rsidRPr="004C5614" w:rsidRDefault="00215F47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>ени – 12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,9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рублей;</w:t>
      </w:r>
    </w:p>
    <w:p w:rsidR="00043407" w:rsidRPr="004C5614" w:rsidRDefault="00215F47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- ш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>трафы – 2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="00043407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 (период прошлых лет);</w:t>
      </w:r>
    </w:p>
    <w:p w:rsidR="00043407" w:rsidRDefault="00043407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значительная сумма средств направлена на уплату недоимки, пени и штрафов по налогам и страховым взносам за прошлые отчетные периоды, в результате чего текущая задолженность по налогам и страховым взносам, а так же долги перед поставщиками и подрядчиками </w:t>
      </w:r>
      <w:r w:rsidR="005555C9" w:rsidRPr="004C5614">
        <w:rPr>
          <w:rFonts w:ascii="Times New Roman" w:eastAsia="Times New Roman" w:hAnsi="Times New Roman"/>
          <w:sz w:val="24"/>
          <w:szCs w:val="24"/>
          <w:lang w:eastAsia="ru-RU"/>
        </w:rPr>
        <w:t>осталось</w:t>
      </w:r>
      <w:r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погашенной</w:t>
      </w:r>
      <w:r w:rsidR="005555C9" w:rsidRPr="004C5614">
        <w:rPr>
          <w:rFonts w:ascii="Times New Roman" w:eastAsia="Times New Roman" w:hAnsi="Times New Roman"/>
          <w:sz w:val="24"/>
          <w:szCs w:val="24"/>
          <w:lang w:eastAsia="ru-RU"/>
        </w:rPr>
        <w:t xml:space="preserve"> в 2012 году</w:t>
      </w:r>
      <w:r w:rsidR="008038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38F6" w:rsidRDefault="008038F6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2012 году предприятие выплачено платежей в бюджеты всех уровней по следующим </w:t>
      </w:r>
      <w:r w:rsidR="0034459D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субъектам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статьям</w:t>
      </w:r>
      <w:r w:rsidR="0034459D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налогообложения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038F6" w:rsidRDefault="008038F6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Фонд социального страхования: 1</w:t>
      </w:r>
      <w:r w:rsidR="00344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217,26 тыс. рублей, из них 451,94 тыс. рублей за прошлые периоды.</w:t>
      </w:r>
    </w:p>
    <w:p w:rsidR="008038F6" w:rsidRDefault="008038F6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Пенсионный фонд России: 22</w:t>
      </w:r>
      <w:r w:rsidR="00344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148,74 тыс. рублей, из них 14</w:t>
      </w:r>
      <w:r w:rsidR="00344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861,99</w:t>
      </w:r>
      <w:r w:rsidR="0034459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за прошлые периоды.</w:t>
      </w:r>
    </w:p>
    <w:p w:rsidR="0034459D" w:rsidRDefault="0034459D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Федеральный и территориальный фонд обязательного медицинского страхования;     4 5757,50 тыс. рублей, из них 2 649,53 тыс. рублей за прошлые периоды.</w:t>
      </w:r>
    </w:p>
    <w:p w:rsidR="0034459D" w:rsidRDefault="0034459D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Налог на доходы физических лиц; 43 207,11 тыс. рублей, из них 39 670, 32 тыс. рублей за прошлые периоды.</w:t>
      </w:r>
    </w:p>
    <w:p w:rsidR="0034459D" w:rsidRDefault="0034459D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Единый социальный налог: 3 623, 05 тыс. рублей за прошлые периоды.</w:t>
      </w:r>
    </w:p>
    <w:p w:rsidR="0034459D" w:rsidRDefault="0034459D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Налог на добавленную стоимость: 8 243,44 тыс. рублей.</w:t>
      </w:r>
    </w:p>
    <w:p w:rsidR="0034459D" w:rsidRDefault="0034459D" w:rsidP="00557D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Транспортный налог</w:t>
      </w:r>
      <w:r w:rsidR="00AA5C9F">
        <w:rPr>
          <w:rFonts w:ascii="Times New Roman" w:eastAsia="Times New Roman" w:hAnsi="Times New Roman"/>
          <w:sz w:val="24"/>
          <w:szCs w:val="24"/>
          <w:lang w:eastAsia="ru-RU"/>
        </w:rPr>
        <w:t>: 738,74 тыс. рублей, из них 439,19 тыс. рублей за прошлые периоды.</w:t>
      </w:r>
    </w:p>
    <w:p w:rsidR="00AA5C9F" w:rsidRDefault="00AA5C9F" w:rsidP="00AA5C9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Плата за негативное воздействие окружающей среды: 526,11 тыс. рублей, из них 411,90 тыс. рублей за прошлые периоды.</w:t>
      </w:r>
    </w:p>
    <w:p w:rsidR="00AA5C9F" w:rsidRPr="004C5614" w:rsidRDefault="00AA5C9F" w:rsidP="00AA5C9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Водный налог: 57,66 тыс. рублей, из них 11,16 тыс. рублей за прошлые периоды.</w:t>
      </w:r>
    </w:p>
    <w:p w:rsidR="00215F47" w:rsidRDefault="00215F47" w:rsidP="0021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F47" w:rsidRDefault="00215F47" w:rsidP="0021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9F" w:rsidRDefault="00AA5C9F" w:rsidP="0021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9F" w:rsidRDefault="00AA5C9F" w:rsidP="0021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9F" w:rsidRDefault="00AA5C9F" w:rsidP="00215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5C9F" w:rsidSect="00AA5C9F">
      <w:pgSz w:w="11906" w:h="16838"/>
      <w:pgMar w:top="907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2721C"/>
    <w:rsid w:val="00005E8C"/>
    <w:rsid w:val="00010DAC"/>
    <w:rsid w:val="00010E45"/>
    <w:rsid w:val="00015096"/>
    <w:rsid w:val="000153FA"/>
    <w:rsid w:val="00021697"/>
    <w:rsid w:val="000220BF"/>
    <w:rsid w:val="000225D2"/>
    <w:rsid w:val="00022DF5"/>
    <w:rsid w:val="00024758"/>
    <w:rsid w:val="00027AC2"/>
    <w:rsid w:val="00033889"/>
    <w:rsid w:val="00034074"/>
    <w:rsid w:val="0003420E"/>
    <w:rsid w:val="00043407"/>
    <w:rsid w:val="000638B0"/>
    <w:rsid w:val="00063C8F"/>
    <w:rsid w:val="00067A22"/>
    <w:rsid w:val="0007381D"/>
    <w:rsid w:val="00074C73"/>
    <w:rsid w:val="00080E1B"/>
    <w:rsid w:val="00083669"/>
    <w:rsid w:val="0008395E"/>
    <w:rsid w:val="00091663"/>
    <w:rsid w:val="00092687"/>
    <w:rsid w:val="0009649F"/>
    <w:rsid w:val="000A69F6"/>
    <w:rsid w:val="000A7E41"/>
    <w:rsid w:val="000B0164"/>
    <w:rsid w:val="000B37E5"/>
    <w:rsid w:val="000C484A"/>
    <w:rsid w:val="000D24DB"/>
    <w:rsid w:val="000D28AC"/>
    <w:rsid w:val="000E06C3"/>
    <w:rsid w:val="000E4244"/>
    <w:rsid w:val="000F0BDD"/>
    <w:rsid w:val="000F1B79"/>
    <w:rsid w:val="0010158B"/>
    <w:rsid w:val="00111BBD"/>
    <w:rsid w:val="001155CE"/>
    <w:rsid w:val="001157E7"/>
    <w:rsid w:val="00115A29"/>
    <w:rsid w:val="001208AE"/>
    <w:rsid w:val="001212A5"/>
    <w:rsid w:val="001246AE"/>
    <w:rsid w:val="00124FA7"/>
    <w:rsid w:val="001250BA"/>
    <w:rsid w:val="0012716A"/>
    <w:rsid w:val="001303E8"/>
    <w:rsid w:val="001348B3"/>
    <w:rsid w:val="0013653C"/>
    <w:rsid w:val="00137FC9"/>
    <w:rsid w:val="00140084"/>
    <w:rsid w:val="00144ED5"/>
    <w:rsid w:val="0014769F"/>
    <w:rsid w:val="00147A60"/>
    <w:rsid w:val="00151800"/>
    <w:rsid w:val="00153A86"/>
    <w:rsid w:val="00164B2A"/>
    <w:rsid w:val="001701C8"/>
    <w:rsid w:val="00172041"/>
    <w:rsid w:val="00173850"/>
    <w:rsid w:val="00175B95"/>
    <w:rsid w:val="00176A19"/>
    <w:rsid w:val="00176B1E"/>
    <w:rsid w:val="0017772D"/>
    <w:rsid w:val="00177F6C"/>
    <w:rsid w:val="001974F3"/>
    <w:rsid w:val="001A1CFC"/>
    <w:rsid w:val="001A63B8"/>
    <w:rsid w:val="001B089D"/>
    <w:rsid w:val="001B2E88"/>
    <w:rsid w:val="001B7228"/>
    <w:rsid w:val="001C0B45"/>
    <w:rsid w:val="001D5144"/>
    <w:rsid w:val="001D6619"/>
    <w:rsid w:val="001E01C5"/>
    <w:rsid w:val="001E267F"/>
    <w:rsid w:val="001E4999"/>
    <w:rsid w:val="001F0016"/>
    <w:rsid w:val="00202AF7"/>
    <w:rsid w:val="00203A13"/>
    <w:rsid w:val="00203F33"/>
    <w:rsid w:val="00204920"/>
    <w:rsid w:val="00215F47"/>
    <w:rsid w:val="002244EF"/>
    <w:rsid w:val="00234E2C"/>
    <w:rsid w:val="002370FA"/>
    <w:rsid w:val="00237164"/>
    <w:rsid w:val="00237794"/>
    <w:rsid w:val="00253BF1"/>
    <w:rsid w:val="002553AF"/>
    <w:rsid w:val="002554DB"/>
    <w:rsid w:val="00257610"/>
    <w:rsid w:val="0026401F"/>
    <w:rsid w:val="00274D9A"/>
    <w:rsid w:val="002800AA"/>
    <w:rsid w:val="00280831"/>
    <w:rsid w:val="002837B8"/>
    <w:rsid w:val="00296C00"/>
    <w:rsid w:val="002973A0"/>
    <w:rsid w:val="00297FBB"/>
    <w:rsid w:val="002A087B"/>
    <w:rsid w:val="002A099F"/>
    <w:rsid w:val="002A673F"/>
    <w:rsid w:val="002B4192"/>
    <w:rsid w:val="002B628A"/>
    <w:rsid w:val="002B70E7"/>
    <w:rsid w:val="002C03A1"/>
    <w:rsid w:val="002C0CC6"/>
    <w:rsid w:val="002C16BF"/>
    <w:rsid w:val="002C21F9"/>
    <w:rsid w:val="002C58AB"/>
    <w:rsid w:val="002D13D0"/>
    <w:rsid w:val="002D3B0D"/>
    <w:rsid w:val="002D6A75"/>
    <w:rsid w:val="002D6AF8"/>
    <w:rsid w:val="002D77D6"/>
    <w:rsid w:val="002E5A5E"/>
    <w:rsid w:val="002E7CA4"/>
    <w:rsid w:val="002F1285"/>
    <w:rsid w:val="002F4C6C"/>
    <w:rsid w:val="003014BD"/>
    <w:rsid w:val="003020D8"/>
    <w:rsid w:val="0030284F"/>
    <w:rsid w:val="00303393"/>
    <w:rsid w:val="003035AA"/>
    <w:rsid w:val="00303817"/>
    <w:rsid w:val="0031514B"/>
    <w:rsid w:val="00316144"/>
    <w:rsid w:val="00321058"/>
    <w:rsid w:val="00321F0F"/>
    <w:rsid w:val="003221CD"/>
    <w:rsid w:val="00325739"/>
    <w:rsid w:val="0032693A"/>
    <w:rsid w:val="003354AB"/>
    <w:rsid w:val="00335B37"/>
    <w:rsid w:val="00336EE5"/>
    <w:rsid w:val="00341EBD"/>
    <w:rsid w:val="0034459D"/>
    <w:rsid w:val="0035587B"/>
    <w:rsid w:val="00356168"/>
    <w:rsid w:val="00365355"/>
    <w:rsid w:val="003658C4"/>
    <w:rsid w:val="00385E85"/>
    <w:rsid w:val="00394147"/>
    <w:rsid w:val="00397253"/>
    <w:rsid w:val="003A360E"/>
    <w:rsid w:val="003A3872"/>
    <w:rsid w:val="003A48F5"/>
    <w:rsid w:val="003B3B98"/>
    <w:rsid w:val="003B3CBD"/>
    <w:rsid w:val="003B469E"/>
    <w:rsid w:val="003B750F"/>
    <w:rsid w:val="003B75E5"/>
    <w:rsid w:val="003C0429"/>
    <w:rsid w:val="003C3ABC"/>
    <w:rsid w:val="003E0CC9"/>
    <w:rsid w:val="003E27AB"/>
    <w:rsid w:val="003E36D1"/>
    <w:rsid w:val="003F1C69"/>
    <w:rsid w:val="003F2323"/>
    <w:rsid w:val="00403B81"/>
    <w:rsid w:val="00405D20"/>
    <w:rsid w:val="0041001C"/>
    <w:rsid w:val="00410DE1"/>
    <w:rsid w:val="0041370A"/>
    <w:rsid w:val="004163AC"/>
    <w:rsid w:val="00416DB1"/>
    <w:rsid w:val="004208E4"/>
    <w:rsid w:val="00421E09"/>
    <w:rsid w:val="00422484"/>
    <w:rsid w:val="00427E3A"/>
    <w:rsid w:val="00430E58"/>
    <w:rsid w:val="0043243B"/>
    <w:rsid w:val="00437045"/>
    <w:rsid w:val="00437128"/>
    <w:rsid w:val="00440116"/>
    <w:rsid w:val="004455FE"/>
    <w:rsid w:val="004471F3"/>
    <w:rsid w:val="00452BE6"/>
    <w:rsid w:val="00453192"/>
    <w:rsid w:val="00453C34"/>
    <w:rsid w:val="00457B7F"/>
    <w:rsid w:val="00473C1B"/>
    <w:rsid w:val="00473EF9"/>
    <w:rsid w:val="00487275"/>
    <w:rsid w:val="00492070"/>
    <w:rsid w:val="00493A64"/>
    <w:rsid w:val="00496E08"/>
    <w:rsid w:val="004A020D"/>
    <w:rsid w:val="004A1BCF"/>
    <w:rsid w:val="004A2738"/>
    <w:rsid w:val="004A45EA"/>
    <w:rsid w:val="004A5A23"/>
    <w:rsid w:val="004A7302"/>
    <w:rsid w:val="004B07BA"/>
    <w:rsid w:val="004B143D"/>
    <w:rsid w:val="004B158D"/>
    <w:rsid w:val="004B6AD0"/>
    <w:rsid w:val="004C11E6"/>
    <w:rsid w:val="004C5614"/>
    <w:rsid w:val="004D29FF"/>
    <w:rsid w:val="004D328D"/>
    <w:rsid w:val="004D3A1D"/>
    <w:rsid w:val="004D45F0"/>
    <w:rsid w:val="005023A1"/>
    <w:rsid w:val="005064F6"/>
    <w:rsid w:val="005122EB"/>
    <w:rsid w:val="00512663"/>
    <w:rsid w:val="00514C4B"/>
    <w:rsid w:val="00517BB8"/>
    <w:rsid w:val="00522070"/>
    <w:rsid w:val="0052707D"/>
    <w:rsid w:val="005320E6"/>
    <w:rsid w:val="0053543D"/>
    <w:rsid w:val="00545135"/>
    <w:rsid w:val="00545882"/>
    <w:rsid w:val="0055260C"/>
    <w:rsid w:val="005555C9"/>
    <w:rsid w:val="00555D39"/>
    <w:rsid w:val="005575B1"/>
    <w:rsid w:val="00557DE7"/>
    <w:rsid w:val="00562A0C"/>
    <w:rsid w:val="00563A85"/>
    <w:rsid w:val="00566BEE"/>
    <w:rsid w:val="005670FB"/>
    <w:rsid w:val="00572B8C"/>
    <w:rsid w:val="005837E0"/>
    <w:rsid w:val="0059359D"/>
    <w:rsid w:val="005954C0"/>
    <w:rsid w:val="005967DE"/>
    <w:rsid w:val="005A0EBE"/>
    <w:rsid w:val="005A49FC"/>
    <w:rsid w:val="005A4CE0"/>
    <w:rsid w:val="005A6517"/>
    <w:rsid w:val="005B1E25"/>
    <w:rsid w:val="005B2382"/>
    <w:rsid w:val="005B547D"/>
    <w:rsid w:val="005C4615"/>
    <w:rsid w:val="005C5D22"/>
    <w:rsid w:val="005C64DB"/>
    <w:rsid w:val="005D19E0"/>
    <w:rsid w:val="005D1F14"/>
    <w:rsid w:val="005D38D1"/>
    <w:rsid w:val="005D471F"/>
    <w:rsid w:val="005E0AD4"/>
    <w:rsid w:val="005E2889"/>
    <w:rsid w:val="005E4E03"/>
    <w:rsid w:val="005F5A49"/>
    <w:rsid w:val="00600AD0"/>
    <w:rsid w:val="0060564E"/>
    <w:rsid w:val="0060780B"/>
    <w:rsid w:val="006100F6"/>
    <w:rsid w:val="00610649"/>
    <w:rsid w:val="00613AA6"/>
    <w:rsid w:val="006148D0"/>
    <w:rsid w:val="0061688D"/>
    <w:rsid w:val="00617A01"/>
    <w:rsid w:val="00623C86"/>
    <w:rsid w:val="0063585D"/>
    <w:rsid w:val="00637414"/>
    <w:rsid w:val="00637B76"/>
    <w:rsid w:val="00644B95"/>
    <w:rsid w:val="00647423"/>
    <w:rsid w:val="006532CC"/>
    <w:rsid w:val="006533A9"/>
    <w:rsid w:val="00660E9F"/>
    <w:rsid w:val="0066128B"/>
    <w:rsid w:val="00661328"/>
    <w:rsid w:val="0066373B"/>
    <w:rsid w:val="00665200"/>
    <w:rsid w:val="0066709F"/>
    <w:rsid w:val="00670985"/>
    <w:rsid w:val="00671067"/>
    <w:rsid w:val="00675F09"/>
    <w:rsid w:val="006775A9"/>
    <w:rsid w:val="006777D1"/>
    <w:rsid w:val="00685E0D"/>
    <w:rsid w:val="00691334"/>
    <w:rsid w:val="006914DB"/>
    <w:rsid w:val="00693FC3"/>
    <w:rsid w:val="006A0908"/>
    <w:rsid w:val="006A67E2"/>
    <w:rsid w:val="006B049C"/>
    <w:rsid w:val="006B238D"/>
    <w:rsid w:val="006B2BA0"/>
    <w:rsid w:val="006B36FE"/>
    <w:rsid w:val="006B6643"/>
    <w:rsid w:val="006B7606"/>
    <w:rsid w:val="006C0917"/>
    <w:rsid w:val="006C18E0"/>
    <w:rsid w:val="006C2A1B"/>
    <w:rsid w:val="006D6D9B"/>
    <w:rsid w:val="006E4DB7"/>
    <w:rsid w:val="006E519F"/>
    <w:rsid w:val="006E53FA"/>
    <w:rsid w:val="006F0F0F"/>
    <w:rsid w:val="006F242A"/>
    <w:rsid w:val="006F4F74"/>
    <w:rsid w:val="00700658"/>
    <w:rsid w:val="007017BD"/>
    <w:rsid w:val="0070466C"/>
    <w:rsid w:val="00705322"/>
    <w:rsid w:val="00705F3B"/>
    <w:rsid w:val="007125EF"/>
    <w:rsid w:val="0072097D"/>
    <w:rsid w:val="00720AA4"/>
    <w:rsid w:val="00721812"/>
    <w:rsid w:val="007224E7"/>
    <w:rsid w:val="00722CC3"/>
    <w:rsid w:val="00726017"/>
    <w:rsid w:val="00734704"/>
    <w:rsid w:val="00747C69"/>
    <w:rsid w:val="0075185E"/>
    <w:rsid w:val="00754392"/>
    <w:rsid w:val="007546B1"/>
    <w:rsid w:val="0075497F"/>
    <w:rsid w:val="007557E6"/>
    <w:rsid w:val="00756620"/>
    <w:rsid w:val="00757B29"/>
    <w:rsid w:val="007609DD"/>
    <w:rsid w:val="00761F0D"/>
    <w:rsid w:val="0076403E"/>
    <w:rsid w:val="00764744"/>
    <w:rsid w:val="00766EB1"/>
    <w:rsid w:val="0077460A"/>
    <w:rsid w:val="00777921"/>
    <w:rsid w:val="00794E34"/>
    <w:rsid w:val="00795264"/>
    <w:rsid w:val="007A13DA"/>
    <w:rsid w:val="007A195A"/>
    <w:rsid w:val="007A6306"/>
    <w:rsid w:val="007A6EEE"/>
    <w:rsid w:val="007B3115"/>
    <w:rsid w:val="007B369D"/>
    <w:rsid w:val="007B4ACC"/>
    <w:rsid w:val="007B4E2F"/>
    <w:rsid w:val="007B5293"/>
    <w:rsid w:val="007C48B8"/>
    <w:rsid w:val="007C51FC"/>
    <w:rsid w:val="007E73DA"/>
    <w:rsid w:val="007F3780"/>
    <w:rsid w:val="007F7146"/>
    <w:rsid w:val="008020B8"/>
    <w:rsid w:val="008038F6"/>
    <w:rsid w:val="00803C35"/>
    <w:rsid w:val="0081699B"/>
    <w:rsid w:val="0082091D"/>
    <w:rsid w:val="008219D1"/>
    <w:rsid w:val="00826D65"/>
    <w:rsid w:val="00834C17"/>
    <w:rsid w:val="00837D29"/>
    <w:rsid w:val="00840148"/>
    <w:rsid w:val="00842E86"/>
    <w:rsid w:val="00843EA7"/>
    <w:rsid w:val="00846231"/>
    <w:rsid w:val="00847B3F"/>
    <w:rsid w:val="0086198D"/>
    <w:rsid w:val="00872E3F"/>
    <w:rsid w:val="00876FE1"/>
    <w:rsid w:val="008775FB"/>
    <w:rsid w:val="00877EA0"/>
    <w:rsid w:val="0088016D"/>
    <w:rsid w:val="008914E7"/>
    <w:rsid w:val="00893C16"/>
    <w:rsid w:val="008A1D6A"/>
    <w:rsid w:val="008A3F7C"/>
    <w:rsid w:val="008B37D6"/>
    <w:rsid w:val="008C0CE0"/>
    <w:rsid w:val="008C216B"/>
    <w:rsid w:val="008C4F3F"/>
    <w:rsid w:val="008D049C"/>
    <w:rsid w:val="008D28FF"/>
    <w:rsid w:val="008D55CD"/>
    <w:rsid w:val="008F0CFC"/>
    <w:rsid w:val="008F38E1"/>
    <w:rsid w:val="008F60D5"/>
    <w:rsid w:val="00901370"/>
    <w:rsid w:val="009070EB"/>
    <w:rsid w:val="00907B2D"/>
    <w:rsid w:val="00910FB3"/>
    <w:rsid w:val="00911DB4"/>
    <w:rsid w:val="00912156"/>
    <w:rsid w:val="00912A5D"/>
    <w:rsid w:val="00913FFC"/>
    <w:rsid w:val="00920675"/>
    <w:rsid w:val="00924ABC"/>
    <w:rsid w:val="00925AE9"/>
    <w:rsid w:val="009345A2"/>
    <w:rsid w:val="009359D1"/>
    <w:rsid w:val="0093673E"/>
    <w:rsid w:val="00944442"/>
    <w:rsid w:val="00945CB5"/>
    <w:rsid w:val="00947170"/>
    <w:rsid w:val="00952984"/>
    <w:rsid w:val="009575CB"/>
    <w:rsid w:val="00961150"/>
    <w:rsid w:val="00961BDC"/>
    <w:rsid w:val="00964FAF"/>
    <w:rsid w:val="00967856"/>
    <w:rsid w:val="00973903"/>
    <w:rsid w:val="0097786C"/>
    <w:rsid w:val="0098091C"/>
    <w:rsid w:val="00984FDB"/>
    <w:rsid w:val="00985354"/>
    <w:rsid w:val="00994F70"/>
    <w:rsid w:val="009971E9"/>
    <w:rsid w:val="009A1EC9"/>
    <w:rsid w:val="009A5996"/>
    <w:rsid w:val="009A72A3"/>
    <w:rsid w:val="009A760E"/>
    <w:rsid w:val="009B2873"/>
    <w:rsid w:val="009B3983"/>
    <w:rsid w:val="009B4826"/>
    <w:rsid w:val="009C1140"/>
    <w:rsid w:val="009C3305"/>
    <w:rsid w:val="009C5669"/>
    <w:rsid w:val="009C79B6"/>
    <w:rsid w:val="009C7EEE"/>
    <w:rsid w:val="009D3AA0"/>
    <w:rsid w:val="009E06AD"/>
    <w:rsid w:val="009E31AE"/>
    <w:rsid w:val="009E7126"/>
    <w:rsid w:val="009F39D3"/>
    <w:rsid w:val="009F3CDE"/>
    <w:rsid w:val="00A03082"/>
    <w:rsid w:val="00A03B2D"/>
    <w:rsid w:val="00A10F92"/>
    <w:rsid w:val="00A142CE"/>
    <w:rsid w:val="00A14DFD"/>
    <w:rsid w:val="00A16035"/>
    <w:rsid w:val="00A236FD"/>
    <w:rsid w:val="00A25157"/>
    <w:rsid w:val="00A30E95"/>
    <w:rsid w:val="00A3169F"/>
    <w:rsid w:val="00A324F5"/>
    <w:rsid w:val="00A35E4A"/>
    <w:rsid w:val="00A37282"/>
    <w:rsid w:val="00A40484"/>
    <w:rsid w:val="00A409E2"/>
    <w:rsid w:val="00A4444B"/>
    <w:rsid w:val="00A45C2A"/>
    <w:rsid w:val="00A466D9"/>
    <w:rsid w:val="00A510B9"/>
    <w:rsid w:val="00A52B3D"/>
    <w:rsid w:val="00A566EE"/>
    <w:rsid w:val="00A56CAC"/>
    <w:rsid w:val="00A619F1"/>
    <w:rsid w:val="00A67518"/>
    <w:rsid w:val="00A73F94"/>
    <w:rsid w:val="00A82BBF"/>
    <w:rsid w:val="00A849B4"/>
    <w:rsid w:val="00A84CD4"/>
    <w:rsid w:val="00A85445"/>
    <w:rsid w:val="00A878E8"/>
    <w:rsid w:val="00A95179"/>
    <w:rsid w:val="00AA1B2F"/>
    <w:rsid w:val="00AA1C72"/>
    <w:rsid w:val="00AA5C9F"/>
    <w:rsid w:val="00AA6BC7"/>
    <w:rsid w:val="00AA6C73"/>
    <w:rsid w:val="00AA7658"/>
    <w:rsid w:val="00AB0451"/>
    <w:rsid w:val="00AB496F"/>
    <w:rsid w:val="00AB521B"/>
    <w:rsid w:val="00AB7383"/>
    <w:rsid w:val="00AB7674"/>
    <w:rsid w:val="00AC4846"/>
    <w:rsid w:val="00AC4F9E"/>
    <w:rsid w:val="00AC6C55"/>
    <w:rsid w:val="00AD6472"/>
    <w:rsid w:val="00AE27B6"/>
    <w:rsid w:val="00AF5EB6"/>
    <w:rsid w:val="00AF6690"/>
    <w:rsid w:val="00AF6C56"/>
    <w:rsid w:val="00B0497E"/>
    <w:rsid w:val="00B124CB"/>
    <w:rsid w:val="00B22C6B"/>
    <w:rsid w:val="00B2441C"/>
    <w:rsid w:val="00B25F8D"/>
    <w:rsid w:val="00B32FDB"/>
    <w:rsid w:val="00B349A6"/>
    <w:rsid w:val="00B41878"/>
    <w:rsid w:val="00B47FE9"/>
    <w:rsid w:val="00B54678"/>
    <w:rsid w:val="00B554DE"/>
    <w:rsid w:val="00B56C13"/>
    <w:rsid w:val="00B74C7D"/>
    <w:rsid w:val="00B80EF7"/>
    <w:rsid w:val="00B81C52"/>
    <w:rsid w:val="00B81E7E"/>
    <w:rsid w:val="00B914DE"/>
    <w:rsid w:val="00B9246D"/>
    <w:rsid w:val="00B931C7"/>
    <w:rsid w:val="00B943FE"/>
    <w:rsid w:val="00BB2575"/>
    <w:rsid w:val="00BB28AE"/>
    <w:rsid w:val="00BB2F76"/>
    <w:rsid w:val="00BB44EA"/>
    <w:rsid w:val="00BC7760"/>
    <w:rsid w:val="00BD3D05"/>
    <w:rsid w:val="00BD4D9F"/>
    <w:rsid w:val="00BE1A21"/>
    <w:rsid w:val="00BF3631"/>
    <w:rsid w:val="00BF68FD"/>
    <w:rsid w:val="00BF7990"/>
    <w:rsid w:val="00C03268"/>
    <w:rsid w:val="00C05AC0"/>
    <w:rsid w:val="00C06CA2"/>
    <w:rsid w:val="00C106CC"/>
    <w:rsid w:val="00C14D01"/>
    <w:rsid w:val="00C17243"/>
    <w:rsid w:val="00C22589"/>
    <w:rsid w:val="00C324F1"/>
    <w:rsid w:val="00C34904"/>
    <w:rsid w:val="00C360D4"/>
    <w:rsid w:val="00C4229A"/>
    <w:rsid w:val="00C46920"/>
    <w:rsid w:val="00C47BBF"/>
    <w:rsid w:val="00C531A1"/>
    <w:rsid w:val="00C542E1"/>
    <w:rsid w:val="00C55FC1"/>
    <w:rsid w:val="00C56347"/>
    <w:rsid w:val="00C57029"/>
    <w:rsid w:val="00C611BF"/>
    <w:rsid w:val="00C65F4A"/>
    <w:rsid w:val="00C72BE1"/>
    <w:rsid w:val="00C7572A"/>
    <w:rsid w:val="00C77F95"/>
    <w:rsid w:val="00C915CC"/>
    <w:rsid w:val="00C91F65"/>
    <w:rsid w:val="00C9230F"/>
    <w:rsid w:val="00C937F8"/>
    <w:rsid w:val="00C941E8"/>
    <w:rsid w:val="00C97F53"/>
    <w:rsid w:val="00CA2A98"/>
    <w:rsid w:val="00CB5FEE"/>
    <w:rsid w:val="00CB6ECD"/>
    <w:rsid w:val="00CC3335"/>
    <w:rsid w:val="00CE5238"/>
    <w:rsid w:val="00CE76E9"/>
    <w:rsid w:val="00CF345D"/>
    <w:rsid w:val="00D004D5"/>
    <w:rsid w:val="00D06656"/>
    <w:rsid w:val="00D11927"/>
    <w:rsid w:val="00D128F6"/>
    <w:rsid w:val="00D13A35"/>
    <w:rsid w:val="00D13D14"/>
    <w:rsid w:val="00D208C9"/>
    <w:rsid w:val="00D24F81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183C"/>
    <w:rsid w:val="00D637B9"/>
    <w:rsid w:val="00D67B6A"/>
    <w:rsid w:val="00D762B1"/>
    <w:rsid w:val="00D76356"/>
    <w:rsid w:val="00D8070A"/>
    <w:rsid w:val="00D80ADD"/>
    <w:rsid w:val="00D843C3"/>
    <w:rsid w:val="00D86F50"/>
    <w:rsid w:val="00DB6103"/>
    <w:rsid w:val="00DC0922"/>
    <w:rsid w:val="00DC2053"/>
    <w:rsid w:val="00DC26D4"/>
    <w:rsid w:val="00DC4810"/>
    <w:rsid w:val="00DD13B2"/>
    <w:rsid w:val="00DD4DCB"/>
    <w:rsid w:val="00DE0766"/>
    <w:rsid w:val="00DE0E27"/>
    <w:rsid w:val="00DE17A6"/>
    <w:rsid w:val="00DE41E6"/>
    <w:rsid w:val="00DE60D3"/>
    <w:rsid w:val="00DE7CEB"/>
    <w:rsid w:val="00DF3ABB"/>
    <w:rsid w:val="00E00173"/>
    <w:rsid w:val="00E018D5"/>
    <w:rsid w:val="00E10313"/>
    <w:rsid w:val="00E13D55"/>
    <w:rsid w:val="00E1540F"/>
    <w:rsid w:val="00E20CAA"/>
    <w:rsid w:val="00E34A33"/>
    <w:rsid w:val="00E52210"/>
    <w:rsid w:val="00E563A9"/>
    <w:rsid w:val="00E57288"/>
    <w:rsid w:val="00E617C9"/>
    <w:rsid w:val="00E62A26"/>
    <w:rsid w:val="00E64083"/>
    <w:rsid w:val="00E760AB"/>
    <w:rsid w:val="00E763FB"/>
    <w:rsid w:val="00E807CF"/>
    <w:rsid w:val="00E91387"/>
    <w:rsid w:val="00EA0242"/>
    <w:rsid w:val="00EA6495"/>
    <w:rsid w:val="00EA6C69"/>
    <w:rsid w:val="00EB0347"/>
    <w:rsid w:val="00EB4A7E"/>
    <w:rsid w:val="00EB4A90"/>
    <w:rsid w:val="00EB5DAA"/>
    <w:rsid w:val="00EC03F1"/>
    <w:rsid w:val="00EC2DBC"/>
    <w:rsid w:val="00EC5877"/>
    <w:rsid w:val="00EC604E"/>
    <w:rsid w:val="00ED1A2C"/>
    <w:rsid w:val="00ED6F8F"/>
    <w:rsid w:val="00ED7BE7"/>
    <w:rsid w:val="00EE094E"/>
    <w:rsid w:val="00EE27AB"/>
    <w:rsid w:val="00EE41A2"/>
    <w:rsid w:val="00EE6AF5"/>
    <w:rsid w:val="00EE77A1"/>
    <w:rsid w:val="00EF1F1A"/>
    <w:rsid w:val="00EF69A4"/>
    <w:rsid w:val="00F009F2"/>
    <w:rsid w:val="00F033D9"/>
    <w:rsid w:val="00F044CD"/>
    <w:rsid w:val="00F05BA0"/>
    <w:rsid w:val="00F0705A"/>
    <w:rsid w:val="00F11A92"/>
    <w:rsid w:val="00F12C07"/>
    <w:rsid w:val="00F12F3F"/>
    <w:rsid w:val="00F13050"/>
    <w:rsid w:val="00F1455D"/>
    <w:rsid w:val="00F24B5E"/>
    <w:rsid w:val="00F2630A"/>
    <w:rsid w:val="00F272B7"/>
    <w:rsid w:val="00F3080A"/>
    <w:rsid w:val="00F312CC"/>
    <w:rsid w:val="00F432AF"/>
    <w:rsid w:val="00F44C2C"/>
    <w:rsid w:val="00F45E68"/>
    <w:rsid w:val="00F54746"/>
    <w:rsid w:val="00F56F88"/>
    <w:rsid w:val="00F612B3"/>
    <w:rsid w:val="00F61DFF"/>
    <w:rsid w:val="00F621C4"/>
    <w:rsid w:val="00F6327D"/>
    <w:rsid w:val="00F6777C"/>
    <w:rsid w:val="00F7340A"/>
    <w:rsid w:val="00F73564"/>
    <w:rsid w:val="00F755F7"/>
    <w:rsid w:val="00F8263D"/>
    <w:rsid w:val="00F95553"/>
    <w:rsid w:val="00FA617B"/>
    <w:rsid w:val="00FB1598"/>
    <w:rsid w:val="00FB41E7"/>
    <w:rsid w:val="00FC275E"/>
    <w:rsid w:val="00FC287F"/>
    <w:rsid w:val="00FD25AA"/>
    <w:rsid w:val="00FD2D97"/>
    <w:rsid w:val="00FD383E"/>
    <w:rsid w:val="00FD55DC"/>
    <w:rsid w:val="00FE379B"/>
    <w:rsid w:val="00FE4CFC"/>
    <w:rsid w:val="00FF62F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1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1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1954-9CC9-4B72-925D-A37C7D9F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С.Ю.</cp:lastModifiedBy>
  <cp:revision>58</cp:revision>
  <cp:lastPrinted>2013-04-03T06:23:00Z</cp:lastPrinted>
  <dcterms:created xsi:type="dcterms:W3CDTF">2013-03-11T05:56:00Z</dcterms:created>
  <dcterms:modified xsi:type="dcterms:W3CDTF">2013-04-03T06:23:00Z</dcterms:modified>
</cp:coreProperties>
</file>